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9462A" w14:textId="7CA3CA9C" w:rsidR="00D922D0" w:rsidRPr="0075501D" w:rsidRDefault="00547CB6" w:rsidP="0075501D">
      <w:pPr>
        <w:pStyle w:val="NoSpacing"/>
        <w:jc w:val="center"/>
        <w:rPr>
          <w:rFonts w:ascii="Arial" w:hAnsi="Arial"/>
          <w:b/>
          <w:bCs/>
          <w:caps/>
          <w:u w:val="single"/>
        </w:rPr>
      </w:pPr>
      <w:bookmarkStart w:id="0" w:name="_GoBack"/>
      <w:bookmarkEnd w:id="0"/>
      <w:r w:rsidRPr="0075501D">
        <w:rPr>
          <w:rFonts w:ascii="Arial" w:hAnsi="Arial"/>
          <w:b/>
          <w:bCs/>
          <w:caps/>
          <w:u w:val="single"/>
        </w:rPr>
        <w:t>typical</w:t>
      </w:r>
      <w:r w:rsidR="002F23B7" w:rsidRPr="0075501D">
        <w:rPr>
          <w:rFonts w:ascii="Arial" w:hAnsi="Arial"/>
          <w:b/>
          <w:bCs/>
          <w:caps/>
          <w:u w:val="single"/>
        </w:rPr>
        <w:t xml:space="preserve"> </w:t>
      </w:r>
      <w:r w:rsidR="00F26562" w:rsidRPr="0075501D">
        <w:rPr>
          <w:rFonts w:ascii="Arial" w:hAnsi="Arial"/>
          <w:b/>
          <w:bCs/>
          <w:caps/>
          <w:u w:val="single"/>
        </w:rPr>
        <w:t xml:space="preserve">BCO </w:t>
      </w:r>
      <w:r w:rsidR="001D6680" w:rsidRPr="0075501D">
        <w:rPr>
          <w:rFonts w:ascii="Arial" w:hAnsi="Arial"/>
          <w:b/>
          <w:bCs/>
          <w:caps/>
          <w:u w:val="single"/>
        </w:rPr>
        <w:t>CYCLE</w:t>
      </w:r>
      <w:r w:rsidR="002F23B7" w:rsidRPr="0075501D">
        <w:rPr>
          <w:rFonts w:ascii="Arial" w:hAnsi="Arial"/>
          <w:b/>
          <w:bCs/>
          <w:caps/>
          <w:u w:val="single"/>
        </w:rPr>
        <w:t xml:space="preserve"> Time</w:t>
      </w:r>
      <w:r w:rsidR="0075501D" w:rsidRPr="0075501D">
        <w:rPr>
          <w:rFonts w:ascii="Arial" w:hAnsi="Arial"/>
          <w:b/>
          <w:bCs/>
          <w:caps/>
          <w:u w:val="single"/>
        </w:rPr>
        <w:t>s</w:t>
      </w:r>
    </w:p>
    <w:p w14:paraId="1A41F48A" w14:textId="77777777" w:rsidR="00D922D0" w:rsidRDefault="00572FF1" w:rsidP="00FD6375">
      <w:pPr>
        <w:spacing w:after="0" w:line="240" w:lineRule="auto"/>
        <w:jc w:val="center"/>
        <w:rPr>
          <w:rFonts w:ascii="Arial Bold" w:hAnsi="Arial Bold" w:cs="Arial"/>
          <w:b/>
          <w:bCs/>
          <w:caps/>
          <w:u w:val="single"/>
        </w:rPr>
      </w:pPr>
      <w:r>
        <w:rPr>
          <w:rFonts w:ascii="Arial Bold" w:hAnsi="Arial Bold" w:cs="Arial"/>
          <w:b/>
          <w:bCs/>
          <w:caps/>
          <w:u w:val="single"/>
        </w:rPr>
        <w:t xml:space="preserve">&amp; </w:t>
      </w:r>
    </w:p>
    <w:p w14:paraId="18BDD9FE" w14:textId="3F256FE2" w:rsidR="00327E47" w:rsidRPr="002F23B7" w:rsidRDefault="00F26562" w:rsidP="00FD6375">
      <w:pPr>
        <w:spacing w:after="0" w:line="240" w:lineRule="auto"/>
        <w:jc w:val="center"/>
        <w:rPr>
          <w:rFonts w:ascii="Arial Bold" w:hAnsi="Arial Bold" w:cs="Arial"/>
          <w:b/>
          <w:bCs/>
          <w:caps/>
          <w:u w:val="single"/>
        </w:rPr>
      </w:pPr>
      <w:r>
        <w:rPr>
          <w:rFonts w:ascii="Arial Bold" w:hAnsi="Arial Bold" w:cs="Arial"/>
          <w:b/>
          <w:bCs/>
          <w:caps/>
          <w:u w:val="single"/>
        </w:rPr>
        <w:t>estimated contract timeframes</w:t>
      </w:r>
    </w:p>
    <w:p w14:paraId="581B2E8B" w14:textId="24820CF5" w:rsidR="00490C0E" w:rsidRDefault="00547CB6" w:rsidP="00FD6375">
      <w:pPr>
        <w:spacing w:after="0" w:line="240" w:lineRule="auto"/>
        <w:jc w:val="center"/>
        <w:rPr>
          <w:rFonts w:ascii="Arial" w:hAnsi="Arial" w:cs="Arial"/>
          <w:i/>
          <w:iCs/>
        </w:rPr>
      </w:pPr>
      <w:r w:rsidRPr="00D80530">
        <w:rPr>
          <w:rFonts w:ascii="Arial" w:hAnsi="Arial" w:cs="Arial"/>
          <w:i/>
          <w:iCs/>
        </w:rPr>
        <w:t>(</w:t>
      </w:r>
      <w:r w:rsidR="002F23B7" w:rsidRPr="00D80530">
        <w:rPr>
          <w:rFonts w:ascii="Arial" w:hAnsi="Arial" w:cs="Arial"/>
          <w:i/>
          <w:iCs/>
        </w:rPr>
        <w:t>Excepting Construction and Real Estate Contracts</w:t>
      </w:r>
      <w:r w:rsidRPr="00D80530">
        <w:rPr>
          <w:rFonts w:ascii="Arial" w:hAnsi="Arial" w:cs="Arial"/>
          <w:i/>
          <w:iCs/>
        </w:rPr>
        <w:t>)</w:t>
      </w:r>
    </w:p>
    <w:p w14:paraId="2C37C8F4" w14:textId="16E5D183" w:rsidR="00370F0A" w:rsidRDefault="00370F0A" w:rsidP="00FD6375">
      <w:pPr>
        <w:spacing w:after="0" w:line="240" w:lineRule="auto"/>
        <w:jc w:val="center"/>
        <w:rPr>
          <w:rFonts w:ascii="Arial" w:hAnsi="Arial" w:cs="Arial"/>
          <w:i/>
          <w:iCs/>
        </w:rPr>
      </w:pPr>
    </w:p>
    <w:p w14:paraId="09A34CC9" w14:textId="77777777" w:rsidR="00572FF1" w:rsidRPr="00D80530" w:rsidRDefault="00572FF1" w:rsidP="00FD6375">
      <w:pPr>
        <w:spacing w:after="0" w:line="240" w:lineRule="auto"/>
        <w:jc w:val="center"/>
        <w:rPr>
          <w:rFonts w:ascii="Arial" w:hAnsi="Arial" w:cs="Arial"/>
          <w:i/>
          <w:iCs/>
        </w:rPr>
      </w:pPr>
    </w:p>
    <w:p w14:paraId="408D563B" w14:textId="559BCC36" w:rsidR="002F23B7" w:rsidRDefault="002F23B7" w:rsidP="00FD6375">
      <w:pPr>
        <w:spacing w:after="0" w:line="240" w:lineRule="auto"/>
        <w:jc w:val="both"/>
        <w:rPr>
          <w:rFonts w:ascii="Arial" w:hAnsi="Arial" w:cs="Arial"/>
        </w:rPr>
      </w:pPr>
      <w:r>
        <w:rPr>
          <w:rFonts w:ascii="Arial" w:hAnsi="Arial" w:cs="Arial"/>
        </w:rPr>
        <w:t>“</w:t>
      </w:r>
      <w:r w:rsidR="00F26562" w:rsidRPr="00F26562">
        <w:rPr>
          <w:rFonts w:ascii="Arial" w:hAnsi="Arial" w:cs="Arial"/>
          <w:b/>
          <w:bCs/>
        </w:rPr>
        <w:t>BCO</w:t>
      </w:r>
      <w:r w:rsidR="00F26562">
        <w:rPr>
          <w:rFonts w:ascii="Arial" w:hAnsi="Arial" w:cs="Arial"/>
        </w:rPr>
        <w:t xml:space="preserve"> </w:t>
      </w:r>
      <w:r w:rsidR="001D6680">
        <w:rPr>
          <w:rFonts w:ascii="Arial" w:hAnsi="Arial" w:cs="Arial"/>
          <w:b/>
          <w:bCs/>
        </w:rPr>
        <w:t>Cycle</w:t>
      </w:r>
      <w:r w:rsidRPr="002F23B7">
        <w:rPr>
          <w:rFonts w:ascii="Arial" w:hAnsi="Arial" w:cs="Arial"/>
          <w:b/>
          <w:bCs/>
        </w:rPr>
        <w:t xml:space="preserve"> Time</w:t>
      </w:r>
      <w:r>
        <w:rPr>
          <w:rFonts w:ascii="Arial" w:hAnsi="Arial" w:cs="Arial"/>
        </w:rPr>
        <w:t xml:space="preserve">” means the time </w:t>
      </w:r>
      <w:r w:rsidR="00547CB6">
        <w:rPr>
          <w:rFonts w:ascii="Arial" w:hAnsi="Arial" w:cs="Arial"/>
        </w:rPr>
        <w:t xml:space="preserve">from when </w:t>
      </w:r>
      <w:r>
        <w:rPr>
          <w:rFonts w:ascii="Arial" w:hAnsi="Arial" w:cs="Arial"/>
        </w:rPr>
        <w:t>a Contract Request has been received by BCO in TCM until the time BCO complete</w:t>
      </w:r>
      <w:r w:rsidR="00547CB6">
        <w:rPr>
          <w:rFonts w:ascii="Arial" w:hAnsi="Arial" w:cs="Arial"/>
        </w:rPr>
        <w:t>s</w:t>
      </w:r>
      <w:r>
        <w:rPr>
          <w:rFonts w:ascii="Arial" w:hAnsi="Arial" w:cs="Arial"/>
        </w:rPr>
        <w:t xml:space="preserve"> its first Full Review.  </w:t>
      </w:r>
    </w:p>
    <w:p w14:paraId="1A5A591D" w14:textId="77777777" w:rsidR="00370F0A" w:rsidRDefault="00370F0A" w:rsidP="00FD6375">
      <w:pPr>
        <w:spacing w:after="0" w:line="240" w:lineRule="auto"/>
        <w:jc w:val="both"/>
        <w:rPr>
          <w:rFonts w:ascii="Arial" w:hAnsi="Arial" w:cs="Arial"/>
        </w:rPr>
      </w:pPr>
    </w:p>
    <w:p w14:paraId="63BE187A" w14:textId="0E8B8AD9" w:rsidR="002F23B7" w:rsidRDefault="002F23B7" w:rsidP="00FD6375">
      <w:pPr>
        <w:spacing w:after="0" w:line="240" w:lineRule="auto"/>
        <w:jc w:val="both"/>
        <w:rPr>
          <w:rFonts w:ascii="Arial" w:hAnsi="Arial" w:cs="Arial"/>
        </w:rPr>
      </w:pPr>
      <w:r>
        <w:rPr>
          <w:rFonts w:ascii="Arial" w:hAnsi="Arial" w:cs="Arial"/>
        </w:rPr>
        <w:t>“</w:t>
      </w:r>
      <w:r w:rsidRPr="00142C28">
        <w:rPr>
          <w:rFonts w:ascii="Arial" w:hAnsi="Arial" w:cs="Arial"/>
          <w:b/>
          <w:bCs/>
        </w:rPr>
        <w:t>Full Review</w:t>
      </w:r>
      <w:r>
        <w:rPr>
          <w:rFonts w:ascii="Arial" w:hAnsi="Arial" w:cs="Arial"/>
        </w:rPr>
        <w:t xml:space="preserve">” means </w:t>
      </w:r>
      <w:r w:rsidR="00142C28">
        <w:rPr>
          <w:rFonts w:ascii="Arial" w:hAnsi="Arial" w:cs="Arial"/>
        </w:rPr>
        <w:t xml:space="preserve">when BCO has fully reviewed the Agreement and moved it to the next stage in the process.  An example of full review is when BCO has coordinated with the department, appropriately revised the agreement, and sent it to the other party for review. </w:t>
      </w:r>
    </w:p>
    <w:p w14:paraId="42FC29A7" w14:textId="77777777" w:rsidR="00370F0A" w:rsidRDefault="00370F0A" w:rsidP="00FD6375">
      <w:pPr>
        <w:spacing w:after="0" w:line="240" w:lineRule="auto"/>
        <w:jc w:val="both"/>
        <w:rPr>
          <w:rFonts w:ascii="Arial" w:hAnsi="Arial" w:cs="Arial"/>
        </w:rPr>
      </w:pPr>
    </w:p>
    <w:p w14:paraId="51B8E7E7" w14:textId="17195C71" w:rsidR="00547CB6" w:rsidRDefault="00547CB6" w:rsidP="00FD6375">
      <w:pPr>
        <w:spacing w:after="0" w:line="240" w:lineRule="auto"/>
        <w:jc w:val="both"/>
        <w:rPr>
          <w:rFonts w:ascii="Arial" w:hAnsi="Arial" w:cs="Arial"/>
        </w:rPr>
      </w:pPr>
      <w:r>
        <w:rPr>
          <w:rFonts w:ascii="Arial" w:hAnsi="Arial" w:cs="Arial"/>
        </w:rPr>
        <w:t>“</w:t>
      </w:r>
      <w:r w:rsidRPr="00547CB6">
        <w:rPr>
          <w:rFonts w:ascii="Arial" w:hAnsi="Arial" w:cs="Arial"/>
          <w:b/>
          <w:bCs/>
        </w:rPr>
        <w:t>TCM</w:t>
      </w:r>
      <w:r>
        <w:rPr>
          <w:rFonts w:ascii="Arial" w:hAnsi="Arial" w:cs="Arial"/>
        </w:rPr>
        <w:t>” means the Total Contracts Management module in Rowdy Exchange.</w:t>
      </w:r>
    </w:p>
    <w:p w14:paraId="0E0F7F23" w14:textId="77777777" w:rsidR="004B5A98" w:rsidRDefault="004B5A98" w:rsidP="00FD6375">
      <w:pPr>
        <w:spacing w:after="0" w:line="240" w:lineRule="auto"/>
        <w:jc w:val="both"/>
        <w:rPr>
          <w:rFonts w:ascii="Arial" w:hAnsi="Arial" w:cs="Arial"/>
        </w:rPr>
      </w:pPr>
    </w:p>
    <w:p w14:paraId="5555CB9A" w14:textId="77777777" w:rsidR="00AE0564" w:rsidRDefault="00AE0564" w:rsidP="00BA11A2">
      <w:pPr>
        <w:spacing w:after="0" w:line="240" w:lineRule="auto"/>
        <w:jc w:val="center"/>
        <w:rPr>
          <w:rFonts w:ascii="Arial" w:hAnsi="Arial" w:cs="Arial"/>
          <w:b/>
          <w:bCs/>
          <w:u w:val="single"/>
        </w:rPr>
      </w:pPr>
    </w:p>
    <w:p w14:paraId="6C42A140" w14:textId="79F8B572" w:rsidR="00FD6375" w:rsidRDefault="00FD6375" w:rsidP="00BA11A2">
      <w:pPr>
        <w:spacing w:after="0" w:line="240" w:lineRule="auto"/>
        <w:jc w:val="center"/>
        <w:rPr>
          <w:rFonts w:ascii="Arial" w:hAnsi="Arial" w:cs="Arial"/>
        </w:rPr>
      </w:pPr>
      <w:r w:rsidRPr="00B41A52">
        <w:rPr>
          <w:rFonts w:ascii="Arial" w:hAnsi="Arial" w:cs="Arial"/>
          <w:b/>
          <w:bCs/>
          <w:u w:val="single"/>
        </w:rPr>
        <w:t>Variance Possibilities and Peak Times</w:t>
      </w:r>
    </w:p>
    <w:p w14:paraId="6DC05C4A" w14:textId="77777777" w:rsidR="00370F0A" w:rsidRDefault="00370F0A" w:rsidP="00FD6375">
      <w:pPr>
        <w:spacing w:after="0" w:line="240" w:lineRule="auto"/>
        <w:jc w:val="both"/>
        <w:rPr>
          <w:rFonts w:ascii="Arial" w:hAnsi="Arial" w:cs="Arial"/>
        </w:rPr>
      </w:pPr>
    </w:p>
    <w:p w14:paraId="64E9EEEB" w14:textId="0A56112C" w:rsidR="00E505D3" w:rsidRDefault="00547CB6" w:rsidP="00FD6375">
      <w:pPr>
        <w:spacing w:after="0" w:line="240" w:lineRule="auto"/>
        <w:jc w:val="both"/>
        <w:rPr>
          <w:rFonts w:ascii="Arial" w:hAnsi="Arial" w:cs="Arial"/>
        </w:rPr>
      </w:pPr>
      <w:r>
        <w:rPr>
          <w:rFonts w:ascii="Arial" w:hAnsi="Arial" w:cs="Arial"/>
        </w:rPr>
        <w:t xml:space="preserve">The </w:t>
      </w:r>
      <w:r w:rsidR="008D1561" w:rsidRPr="008D1561">
        <w:rPr>
          <w:rFonts w:ascii="Arial" w:hAnsi="Arial" w:cs="Arial"/>
          <w:b/>
          <w:bCs/>
          <w:i/>
          <w:iCs/>
        </w:rPr>
        <w:t>BCO Cycle Times</w:t>
      </w:r>
      <w:r>
        <w:rPr>
          <w:rFonts w:ascii="Arial" w:hAnsi="Arial" w:cs="Arial"/>
        </w:rPr>
        <w:t xml:space="preserve"> and can vary with agreement and can depend on current workload and current staffing levels.</w:t>
      </w:r>
      <w:r w:rsidR="00FD6375">
        <w:rPr>
          <w:rFonts w:ascii="Arial" w:hAnsi="Arial" w:cs="Arial"/>
        </w:rPr>
        <w:t xml:space="preserve">  </w:t>
      </w:r>
    </w:p>
    <w:p w14:paraId="3A07C85A" w14:textId="579DF312" w:rsidR="008D1561" w:rsidRDefault="008D1561" w:rsidP="00FD6375">
      <w:pPr>
        <w:spacing w:after="0" w:line="240" w:lineRule="auto"/>
        <w:jc w:val="both"/>
        <w:rPr>
          <w:rFonts w:ascii="Arial" w:hAnsi="Arial" w:cs="Arial"/>
        </w:rPr>
      </w:pPr>
    </w:p>
    <w:p w14:paraId="3139842A" w14:textId="332FA6F0" w:rsidR="008D1561" w:rsidRDefault="008D1561" w:rsidP="008D1561">
      <w:pPr>
        <w:spacing w:after="0" w:line="240" w:lineRule="auto"/>
        <w:jc w:val="both"/>
        <w:rPr>
          <w:rFonts w:ascii="Arial" w:hAnsi="Arial" w:cs="Arial"/>
          <w:b/>
          <w:bCs/>
        </w:rPr>
      </w:pPr>
      <w:r w:rsidRPr="00207EC2">
        <w:rPr>
          <w:rFonts w:ascii="Arial" w:hAnsi="Arial" w:cs="Arial"/>
          <w:b/>
          <w:bCs/>
          <w:i/>
          <w:iCs/>
          <w:smallCaps/>
        </w:rPr>
        <w:t xml:space="preserve">Estimated Time for </w:t>
      </w:r>
      <w:r>
        <w:rPr>
          <w:rFonts w:ascii="Arial" w:hAnsi="Arial" w:cs="Arial"/>
          <w:b/>
          <w:bCs/>
          <w:i/>
          <w:iCs/>
          <w:smallCaps/>
        </w:rPr>
        <w:t xml:space="preserve">Full </w:t>
      </w:r>
      <w:r w:rsidRPr="00207EC2">
        <w:rPr>
          <w:rFonts w:ascii="Arial" w:hAnsi="Arial" w:cs="Arial"/>
          <w:b/>
          <w:bCs/>
          <w:i/>
          <w:iCs/>
          <w:smallCaps/>
        </w:rPr>
        <w:t>Contract Completion</w:t>
      </w:r>
      <w:r w:rsidRPr="00207EC2">
        <w:rPr>
          <w:rFonts w:ascii="Arial" w:hAnsi="Arial" w:cs="Arial"/>
          <w:smallCaps/>
        </w:rPr>
        <w:t xml:space="preserve"> </w:t>
      </w:r>
      <w:r w:rsidRPr="00207EC2">
        <w:rPr>
          <w:rFonts w:ascii="Arial" w:hAnsi="Arial" w:cs="Arial"/>
          <w:smallCaps/>
          <w:u w:val="single"/>
        </w:rPr>
        <w:t>is a guesstimate based on general historical experience</w:t>
      </w:r>
      <w:r w:rsidRPr="00207EC2">
        <w:rPr>
          <w:rFonts w:ascii="Arial" w:hAnsi="Arial" w:cs="Arial"/>
          <w:smallCaps/>
        </w:rPr>
        <w:t xml:space="preserve">. Once BCO completes its first full review, the remaining aspects </w:t>
      </w:r>
      <w:r>
        <w:rPr>
          <w:rFonts w:ascii="Arial" w:hAnsi="Arial" w:cs="Arial"/>
          <w:smallCaps/>
        </w:rPr>
        <w:t>are</w:t>
      </w:r>
      <w:r w:rsidRPr="00207EC2">
        <w:rPr>
          <w:rFonts w:ascii="Arial" w:hAnsi="Arial" w:cs="Arial"/>
          <w:smallCaps/>
        </w:rPr>
        <w:t xml:space="preserve"> outside of BCO control, such as the flexibility and response time of the other party, required secondary department reviews (i.e., Information Security), and business updates and approvals</w:t>
      </w:r>
      <w:r>
        <w:rPr>
          <w:rFonts w:ascii="Arial" w:hAnsi="Arial" w:cs="Arial"/>
        </w:rPr>
        <w:t>.</w:t>
      </w:r>
    </w:p>
    <w:p w14:paraId="55C507A3" w14:textId="77777777" w:rsidR="00370F0A" w:rsidRDefault="00370F0A" w:rsidP="00FD6375">
      <w:pPr>
        <w:spacing w:after="0" w:line="240" w:lineRule="auto"/>
        <w:jc w:val="both"/>
        <w:rPr>
          <w:rFonts w:ascii="Arial" w:hAnsi="Arial" w:cs="Arial"/>
        </w:rPr>
      </w:pPr>
    </w:p>
    <w:p w14:paraId="7FABEF08" w14:textId="315A4D01" w:rsidR="00FD6375" w:rsidRDefault="00FD6375" w:rsidP="00FD6375">
      <w:pPr>
        <w:spacing w:after="0" w:line="240" w:lineRule="auto"/>
        <w:jc w:val="both"/>
        <w:rPr>
          <w:rFonts w:ascii="Arial" w:hAnsi="Arial" w:cs="Arial"/>
        </w:rPr>
      </w:pPr>
      <w:r>
        <w:rPr>
          <w:rFonts w:ascii="Arial" w:hAnsi="Arial" w:cs="Arial"/>
        </w:rPr>
        <w:t xml:space="preserve">The </w:t>
      </w:r>
      <w:r w:rsidRPr="00FD6375">
        <w:rPr>
          <w:rFonts w:ascii="Arial" w:hAnsi="Arial" w:cs="Arial"/>
          <w:u w:val="single"/>
        </w:rPr>
        <w:t>Peak Workload Time</w:t>
      </w:r>
      <w:r>
        <w:rPr>
          <w:rFonts w:ascii="Arial" w:hAnsi="Arial" w:cs="Arial"/>
        </w:rPr>
        <w:t xml:space="preserve"> for the Business Contracts Office is </w:t>
      </w:r>
      <w:r w:rsidR="0076654E">
        <w:rPr>
          <w:rFonts w:ascii="Arial" w:hAnsi="Arial" w:cs="Arial"/>
        </w:rPr>
        <w:t>late</w:t>
      </w:r>
      <w:r>
        <w:rPr>
          <w:rFonts w:ascii="Arial" w:hAnsi="Arial" w:cs="Arial"/>
        </w:rPr>
        <w:t xml:space="preserve">-June through October.  During this time, BCO must necessarily prioritize those contracts that </w:t>
      </w:r>
      <w:r w:rsidR="00BA11A2">
        <w:rPr>
          <w:rFonts w:ascii="Arial" w:hAnsi="Arial" w:cs="Arial"/>
        </w:rPr>
        <w:t>effect</w:t>
      </w:r>
      <w:r>
        <w:rPr>
          <w:rFonts w:ascii="Arial" w:hAnsi="Arial" w:cs="Arial"/>
        </w:rPr>
        <w:t xml:space="preserve"> current operational requirements.  Proactive contract projects are difficult to prioritize during this period. </w:t>
      </w:r>
    </w:p>
    <w:p w14:paraId="438E7191" w14:textId="4AA79201" w:rsidR="00FD6375" w:rsidRDefault="00FD6375" w:rsidP="00FD6375">
      <w:pPr>
        <w:spacing w:after="0" w:line="240" w:lineRule="auto"/>
        <w:jc w:val="both"/>
        <w:rPr>
          <w:rFonts w:ascii="Arial" w:hAnsi="Arial" w:cs="Arial"/>
        </w:rPr>
      </w:pPr>
    </w:p>
    <w:p w14:paraId="191FE701" w14:textId="77777777" w:rsidR="00AE0564" w:rsidRDefault="00AE0564" w:rsidP="00BA11A2">
      <w:pPr>
        <w:spacing w:after="0" w:line="240" w:lineRule="auto"/>
        <w:jc w:val="center"/>
        <w:rPr>
          <w:rFonts w:ascii="Arial" w:hAnsi="Arial" w:cs="Arial"/>
          <w:b/>
          <w:bCs/>
          <w:u w:val="single"/>
        </w:rPr>
      </w:pPr>
    </w:p>
    <w:p w14:paraId="4E654CEC" w14:textId="6D09C5CD" w:rsidR="00370F0A" w:rsidRDefault="00BA11A2" w:rsidP="00BA11A2">
      <w:pPr>
        <w:spacing w:after="0" w:line="240" w:lineRule="auto"/>
        <w:jc w:val="center"/>
        <w:rPr>
          <w:rFonts w:ascii="Arial" w:hAnsi="Arial" w:cs="Arial"/>
          <w:b/>
          <w:bCs/>
          <w:u w:val="single"/>
        </w:rPr>
      </w:pPr>
      <w:r w:rsidRPr="00BA11A2">
        <w:rPr>
          <w:rFonts w:ascii="Arial" w:hAnsi="Arial" w:cs="Arial"/>
          <w:b/>
          <w:bCs/>
          <w:u w:val="single"/>
        </w:rPr>
        <w:t xml:space="preserve">General </w:t>
      </w:r>
      <w:r w:rsidR="00572FF1">
        <w:rPr>
          <w:rFonts w:ascii="Arial" w:hAnsi="Arial" w:cs="Arial"/>
          <w:b/>
          <w:bCs/>
          <w:u w:val="single"/>
        </w:rPr>
        <w:t>Phases</w:t>
      </w:r>
      <w:r w:rsidR="00572FF1" w:rsidRPr="00BA11A2">
        <w:rPr>
          <w:rFonts w:ascii="Arial" w:hAnsi="Arial" w:cs="Arial"/>
          <w:b/>
          <w:bCs/>
          <w:u w:val="single"/>
        </w:rPr>
        <w:t xml:space="preserve"> </w:t>
      </w:r>
      <w:r w:rsidRPr="00BA11A2">
        <w:rPr>
          <w:rFonts w:ascii="Arial" w:hAnsi="Arial" w:cs="Arial"/>
          <w:b/>
          <w:bCs/>
          <w:u w:val="single"/>
        </w:rPr>
        <w:t>by Contract Type</w:t>
      </w:r>
    </w:p>
    <w:p w14:paraId="2AF6458E" w14:textId="77777777" w:rsidR="00D922D0" w:rsidRDefault="00D922D0" w:rsidP="00BA11A2">
      <w:pPr>
        <w:spacing w:after="0" w:line="240" w:lineRule="auto"/>
        <w:jc w:val="center"/>
        <w:rPr>
          <w:rFonts w:ascii="Arial" w:hAnsi="Arial" w:cs="Arial"/>
          <w:b/>
          <w:bCs/>
          <w:u w:val="single"/>
        </w:rPr>
      </w:pPr>
    </w:p>
    <w:p w14:paraId="2AF1237B" w14:textId="77777777" w:rsidR="00B41A52" w:rsidRPr="00BA11A2" w:rsidRDefault="00B41A52" w:rsidP="00BA11A2">
      <w:pPr>
        <w:spacing w:after="0" w:line="240" w:lineRule="auto"/>
        <w:jc w:val="center"/>
        <w:rPr>
          <w:rFonts w:ascii="Arial" w:hAnsi="Arial" w:cs="Arial"/>
          <w:b/>
          <w:bCs/>
          <w:u w:val="single"/>
        </w:rPr>
      </w:pPr>
    </w:p>
    <w:tbl>
      <w:tblPr>
        <w:tblStyle w:val="TableGrid"/>
        <w:tblW w:w="0" w:type="auto"/>
        <w:jc w:val="center"/>
        <w:tblLook w:val="04A0" w:firstRow="1" w:lastRow="0" w:firstColumn="1" w:lastColumn="0" w:noHBand="0" w:noVBand="1"/>
      </w:tblPr>
      <w:tblGrid>
        <w:gridCol w:w="3685"/>
        <w:gridCol w:w="2790"/>
        <w:gridCol w:w="3451"/>
      </w:tblGrid>
      <w:tr w:rsidR="00572FF1" w14:paraId="0B501918" w14:textId="350F2D33" w:rsidTr="0069133E">
        <w:trPr>
          <w:jc w:val="center"/>
        </w:trPr>
        <w:tc>
          <w:tcPr>
            <w:tcW w:w="9926" w:type="dxa"/>
            <w:gridSpan w:val="3"/>
            <w:shd w:val="clear" w:color="auto" w:fill="B4C6E7" w:themeFill="accent1" w:themeFillTint="66"/>
            <w:vAlign w:val="center"/>
          </w:tcPr>
          <w:p w14:paraId="66B4BE2A" w14:textId="77777777" w:rsidR="00572FF1" w:rsidRDefault="00572FF1" w:rsidP="00FD6375">
            <w:pPr>
              <w:jc w:val="center"/>
              <w:rPr>
                <w:rFonts w:ascii="Arial" w:hAnsi="Arial" w:cs="Arial"/>
                <w:b/>
                <w:bCs/>
                <w:u w:val="single"/>
              </w:rPr>
            </w:pPr>
          </w:p>
          <w:p w14:paraId="3EF045EC" w14:textId="77777777" w:rsidR="00572FF1" w:rsidRPr="00BA11A2" w:rsidRDefault="00572FF1" w:rsidP="00FD6375">
            <w:pPr>
              <w:jc w:val="center"/>
              <w:rPr>
                <w:rFonts w:ascii="Arial" w:hAnsi="Arial" w:cs="Arial"/>
                <w:b/>
                <w:bCs/>
              </w:rPr>
            </w:pPr>
            <w:r w:rsidRPr="00BA11A2">
              <w:rPr>
                <w:rFonts w:ascii="Arial" w:hAnsi="Arial" w:cs="Arial"/>
                <w:b/>
                <w:bCs/>
              </w:rPr>
              <w:t>Standard and Template Contracts</w:t>
            </w:r>
          </w:p>
          <w:p w14:paraId="2245D2DF" w14:textId="77777777" w:rsidR="00572FF1" w:rsidRDefault="00572FF1" w:rsidP="00FD6375">
            <w:pPr>
              <w:jc w:val="center"/>
              <w:rPr>
                <w:rFonts w:ascii="Arial" w:hAnsi="Arial" w:cs="Arial"/>
                <w:b/>
                <w:bCs/>
                <w:u w:val="single"/>
              </w:rPr>
            </w:pPr>
          </w:p>
        </w:tc>
      </w:tr>
      <w:tr w:rsidR="00572FF1" w14:paraId="6C8F6D84" w14:textId="6BB78A94" w:rsidTr="00572FF1">
        <w:trPr>
          <w:jc w:val="center"/>
        </w:trPr>
        <w:tc>
          <w:tcPr>
            <w:tcW w:w="3685" w:type="dxa"/>
            <w:shd w:val="clear" w:color="auto" w:fill="FBE4D5" w:themeFill="accent2" w:themeFillTint="33"/>
          </w:tcPr>
          <w:p w14:paraId="2984C623" w14:textId="77777777" w:rsidR="00572FF1" w:rsidRPr="00572FF1" w:rsidRDefault="00572FF1" w:rsidP="00FD6375">
            <w:pPr>
              <w:jc w:val="both"/>
              <w:rPr>
                <w:rFonts w:ascii="Arial" w:hAnsi="Arial" w:cs="Arial"/>
                <w:b/>
                <w:bCs/>
              </w:rPr>
            </w:pPr>
            <w:r w:rsidRPr="00572FF1">
              <w:rPr>
                <w:rFonts w:ascii="Arial" w:hAnsi="Arial" w:cs="Arial"/>
                <w:b/>
                <w:bCs/>
              </w:rPr>
              <w:t>Contract Type</w:t>
            </w:r>
          </w:p>
          <w:p w14:paraId="1474E2E4" w14:textId="311C6613" w:rsidR="00572FF1" w:rsidRDefault="00572FF1" w:rsidP="00FD6375">
            <w:pPr>
              <w:jc w:val="both"/>
              <w:rPr>
                <w:rFonts w:ascii="Arial" w:hAnsi="Arial" w:cs="Arial"/>
              </w:rPr>
            </w:pPr>
          </w:p>
        </w:tc>
        <w:tc>
          <w:tcPr>
            <w:tcW w:w="2790" w:type="dxa"/>
            <w:shd w:val="clear" w:color="auto" w:fill="FBE4D5" w:themeFill="accent2" w:themeFillTint="33"/>
          </w:tcPr>
          <w:p w14:paraId="63311214" w14:textId="619A3269" w:rsidR="00572FF1" w:rsidRPr="00572FF1" w:rsidRDefault="00572FF1" w:rsidP="00FD6375">
            <w:pPr>
              <w:jc w:val="both"/>
              <w:rPr>
                <w:rFonts w:ascii="Arial" w:hAnsi="Arial" w:cs="Arial"/>
                <w:b/>
                <w:bCs/>
              </w:rPr>
            </w:pPr>
            <w:r w:rsidRPr="00572FF1">
              <w:rPr>
                <w:rFonts w:ascii="Arial" w:hAnsi="Arial" w:cs="Arial"/>
                <w:b/>
                <w:bCs/>
              </w:rPr>
              <w:t>Typical BCO Cycle Time</w:t>
            </w:r>
          </w:p>
        </w:tc>
        <w:tc>
          <w:tcPr>
            <w:tcW w:w="3451" w:type="dxa"/>
            <w:shd w:val="clear" w:color="auto" w:fill="FBE4D5" w:themeFill="accent2" w:themeFillTint="33"/>
          </w:tcPr>
          <w:p w14:paraId="06C8BDD0" w14:textId="72093A37" w:rsidR="00572FF1" w:rsidRPr="00572FF1" w:rsidRDefault="00572FF1" w:rsidP="00FD6375">
            <w:pPr>
              <w:jc w:val="both"/>
              <w:rPr>
                <w:rFonts w:ascii="Arial" w:hAnsi="Arial" w:cs="Arial"/>
                <w:b/>
                <w:bCs/>
              </w:rPr>
            </w:pPr>
            <w:r w:rsidRPr="00572FF1">
              <w:rPr>
                <w:rFonts w:ascii="Arial" w:hAnsi="Arial" w:cs="Arial"/>
                <w:b/>
                <w:bCs/>
              </w:rPr>
              <w:t>Estimated Time for Contract Execution</w:t>
            </w:r>
          </w:p>
          <w:p w14:paraId="7B4C3A3C" w14:textId="35367F91" w:rsidR="00572FF1" w:rsidRPr="00572FF1" w:rsidRDefault="00572FF1" w:rsidP="00FD6375">
            <w:pPr>
              <w:jc w:val="both"/>
              <w:rPr>
                <w:rFonts w:ascii="Arial" w:hAnsi="Arial" w:cs="Arial"/>
                <w:b/>
                <w:bCs/>
              </w:rPr>
            </w:pPr>
          </w:p>
        </w:tc>
      </w:tr>
      <w:tr w:rsidR="00572FF1" w14:paraId="0112483A" w14:textId="36631459" w:rsidTr="00572FF1">
        <w:trPr>
          <w:jc w:val="center"/>
        </w:trPr>
        <w:tc>
          <w:tcPr>
            <w:tcW w:w="3685" w:type="dxa"/>
            <w:shd w:val="clear" w:color="auto" w:fill="FBE4D5" w:themeFill="accent2" w:themeFillTint="33"/>
          </w:tcPr>
          <w:p w14:paraId="0431E151" w14:textId="77777777" w:rsidR="00572FF1" w:rsidRDefault="00572FF1" w:rsidP="00FD6375">
            <w:pPr>
              <w:jc w:val="both"/>
              <w:rPr>
                <w:rFonts w:ascii="Arial" w:hAnsi="Arial" w:cs="Arial"/>
              </w:rPr>
            </w:pPr>
            <w:r>
              <w:rPr>
                <w:rFonts w:ascii="Arial" w:hAnsi="Arial" w:cs="Arial"/>
              </w:rPr>
              <w:t>Standard Low-Risk Agreements found on BCO’s Website</w:t>
            </w:r>
          </w:p>
          <w:p w14:paraId="1ADF77C0" w14:textId="10FAE50D" w:rsidR="00572FF1" w:rsidRDefault="00572FF1" w:rsidP="00FD6375">
            <w:pPr>
              <w:jc w:val="both"/>
              <w:rPr>
                <w:rFonts w:ascii="Arial" w:hAnsi="Arial" w:cs="Arial"/>
                <w:b/>
                <w:bCs/>
                <w:u w:val="single"/>
              </w:rPr>
            </w:pPr>
          </w:p>
        </w:tc>
        <w:tc>
          <w:tcPr>
            <w:tcW w:w="2790" w:type="dxa"/>
            <w:shd w:val="clear" w:color="auto" w:fill="FBE4D5" w:themeFill="accent2" w:themeFillTint="33"/>
          </w:tcPr>
          <w:p w14:paraId="0A01C5EA" w14:textId="5EC868C3" w:rsidR="00572FF1" w:rsidRDefault="00572FF1" w:rsidP="00FD6375">
            <w:pPr>
              <w:jc w:val="both"/>
              <w:rPr>
                <w:rFonts w:ascii="Arial" w:hAnsi="Arial" w:cs="Arial"/>
                <w:b/>
                <w:bCs/>
                <w:u w:val="single"/>
              </w:rPr>
            </w:pPr>
            <w:r>
              <w:rPr>
                <w:rFonts w:ascii="Arial" w:hAnsi="Arial" w:cs="Arial"/>
              </w:rPr>
              <w:t>2 Business Days</w:t>
            </w:r>
          </w:p>
        </w:tc>
        <w:tc>
          <w:tcPr>
            <w:tcW w:w="3451" w:type="dxa"/>
            <w:shd w:val="clear" w:color="auto" w:fill="FBE4D5" w:themeFill="accent2" w:themeFillTint="33"/>
          </w:tcPr>
          <w:p w14:paraId="12105A40" w14:textId="1842102B" w:rsidR="00572FF1" w:rsidRDefault="00AE0564" w:rsidP="00FD6375">
            <w:pPr>
              <w:jc w:val="both"/>
              <w:rPr>
                <w:rFonts w:ascii="Arial" w:hAnsi="Arial" w:cs="Arial"/>
              </w:rPr>
            </w:pPr>
            <w:r>
              <w:rPr>
                <w:rFonts w:ascii="Arial" w:hAnsi="Arial" w:cs="Arial"/>
              </w:rPr>
              <w:t>3 Business Days</w:t>
            </w:r>
          </w:p>
        </w:tc>
      </w:tr>
      <w:tr w:rsidR="00572FF1" w14:paraId="2BC25E99" w14:textId="1862FA68" w:rsidTr="00572FF1">
        <w:trPr>
          <w:jc w:val="center"/>
        </w:trPr>
        <w:tc>
          <w:tcPr>
            <w:tcW w:w="3685" w:type="dxa"/>
            <w:shd w:val="clear" w:color="auto" w:fill="FBE4D5" w:themeFill="accent2" w:themeFillTint="33"/>
          </w:tcPr>
          <w:p w14:paraId="024F1C1B" w14:textId="3ADCECAA" w:rsidR="00572FF1" w:rsidRDefault="00572FF1" w:rsidP="00FD6375">
            <w:pPr>
              <w:jc w:val="both"/>
              <w:rPr>
                <w:rFonts w:ascii="Arial" w:hAnsi="Arial" w:cs="Arial"/>
              </w:rPr>
            </w:pPr>
            <w:r>
              <w:rPr>
                <w:rFonts w:ascii="Arial" w:hAnsi="Arial" w:cs="Arial"/>
              </w:rPr>
              <w:t>Service Orders or SOWs under an Existing Master Agreement</w:t>
            </w:r>
          </w:p>
          <w:p w14:paraId="35697E9C" w14:textId="3658A8C3" w:rsidR="00572FF1" w:rsidRDefault="00572FF1" w:rsidP="00FD6375">
            <w:pPr>
              <w:jc w:val="both"/>
              <w:rPr>
                <w:rFonts w:ascii="Arial" w:hAnsi="Arial" w:cs="Arial"/>
                <w:b/>
                <w:bCs/>
                <w:u w:val="single"/>
              </w:rPr>
            </w:pPr>
          </w:p>
        </w:tc>
        <w:tc>
          <w:tcPr>
            <w:tcW w:w="2790" w:type="dxa"/>
            <w:shd w:val="clear" w:color="auto" w:fill="FBE4D5" w:themeFill="accent2" w:themeFillTint="33"/>
          </w:tcPr>
          <w:p w14:paraId="5B8D92F8" w14:textId="46A158F4" w:rsidR="00572FF1" w:rsidRDefault="00572FF1" w:rsidP="00FD6375">
            <w:pPr>
              <w:jc w:val="both"/>
              <w:rPr>
                <w:rFonts w:ascii="Arial" w:hAnsi="Arial" w:cs="Arial"/>
              </w:rPr>
            </w:pPr>
            <w:r>
              <w:rPr>
                <w:rFonts w:ascii="Arial" w:hAnsi="Arial" w:cs="Arial"/>
              </w:rPr>
              <w:t>3</w:t>
            </w:r>
            <w:r w:rsidR="00AE0564">
              <w:rPr>
                <w:rFonts w:ascii="Arial" w:hAnsi="Arial" w:cs="Arial"/>
              </w:rPr>
              <w:t>-4</w:t>
            </w:r>
            <w:r>
              <w:rPr>
                <w:rFonts w:ascii="Arial" w:hAnsi="Arial" w:cs="Arial"/>
              </w:rPr>
              <w:t xml:space="preserve"> Business Days</w:t>
            </w:r>
          </w:p>
          <w:p w14:paraId="2B2B0097" w14:textId="22060229" w:rsidR="00572FF1" w:rsidRDefault="00572FF1" w:rsidP="00FD6375">
            <w:pPr>
              <w:jc w:val="both"/>
              <w:rPr>
                <w:rFonts w:ascii="Arial" w:hAnsi="Arial" w:cs="Arial"/>
                <w:b/>
                <w:bCs/>
                <w:u w:val="single"/>
              </w:rPr>
            </w:pPr>
          </w:p>
        </w:tc>
        <w:tc>
          <w:tcPr>
            <w:tcW w:w="3451" w:type="dxa"/>
            <w:shd w:val="clear" w:color="auto" w:fill="FBE4D5" w:themeFill="accent2" w:themeFillTint="33"/>
          </w:tcPr>
          <w:p w14:paraId="282D2141" w14:textId="0E9701C9" w:rsidR="00572FF1" w:rsidRDefault="00AE0564" w:rsidP="00FD6375">
            <w:pPr>
              <w:jc w:val="both"/>
              <w:rPr>
                <w:rFonts w:ascii="Arial" w:hAnsi="Arial" w:cs="Arial"/>
              </w:rPr>
            </w:pPr>
            <w:r>
              <w:rPr>
                <w:rFonts w:ascii="Arial" w:hAnsi="Arial" w:cs="Arial"/>
              </w:rPr>
              <w:t>7-8 Business Days</w:t>
            </w:r>
          </w:p>
        </w:tc>
      </w:tr>
    </w:tbl>
    <w:p w14:paraId="585A86C2" w14:textId="66E2F839" w:rsidR="004B5A98" w:rsidRDefault="004B5A98" w:rsidP="00FD6375">
      <w:pPr>
        <w:spacing w:after="0" w:line="240" w:lineRule="auto"/>
        <w:jc w:val="both"/>
        <w:rPr>
          <w:rFonts w:ascii="Arial" w:hAnsi="Arial" w:cs="Arial"/>
          <w:b/>
          <w:bCs/>
          <w:u w:val="single"/>
        </w:rPr>
      </w:pPr>
    </w:p>
    <w:p w14:paraId="2C5987DD" w14:textId="26E72715" w:rsidR="00AE0564" w:rsidRDefault="00AE0564" w:rsidP="00FD6375">
      <w:pPr>
        <w:spacing w:after="0" w:line="240" w:lineRule="auto"/>
        <w:jc w:val="both"/>
        <w:rPr>
          <w:rFonts w:ascii="Arial" w:hAnsi="Arial" w:cs="Arial"/>
        </w:rPr>
      </w:pPr>
    </w:p>
    <w:p w14:paraId="521B4208" w14:textId="6F4F17E3" w:rsidR="00AE0564" w:rsidRDefault="00AE0564" w:rsidP="00FD6375">
      <w:pPr>
        <w:spacing w:after="0" w:line="240" w:lineRule="auto"/>
        <w:jc w:val="both"/>
        <w:rPr>
          <w:rFonts w:ascii="Arial" w:hAnsi="Arial" w:cs="Arial"/>
        </w:rPr>
      </w:pPr>
    </w:p>
    <w:p w14:paraId="485463CA" w14:textId="68850DD4" w:rsidR="00D922D0" w:rsidRDefault="00D922D0" w:rsidP="00FD6375">
      <w:pPr>
        <w:spacing w:after="0" w:line="240" w:lineRule="auto"/>
        <w:jc w:val="both"/>
        <w:rPr>
          <w:rFonts w:ascii="Arial" w:hAnsi="Arial" w:cs="Arial"/>
        </w:rPr>
      </w:pPr>
    </w:p>
    <w:p w14:paraId="537068DD" w14:textId="1A73C0E0" w:rsidR="00D922D0" w:rsidRDefault="00D922D0" w:rsidP="00FD6375">
      <w:pPr>
        <w:spacing w:after="0" w:line="240" w:lineRule="auto"/>
        <w:jc w:val="both"/>
        <w:rPr>
          <w:rFonts w:ascii="Arial" w:hAnsi="Arial" w:cs="Arial"/>
        </w:rPr>
      </w:pPr>
    </w:p>
    <w:p w14:paraId="65BB1C00" w14:textId="562E28E8" w:rsidR="00D922D0" w:rsidRDefault="00D922D0" w:rsidP="00FD6375">
      <w:pPr>
        <w:spacing w:after="0" w:line="240" w:lineRule="auto"/>
        <w:jc w:val="both"/>
        <w:rPr>
          <w:rFonts w:ascii="Arial" w:hAnsi="Arial" w:cs="Arial"/>
        </w:rPr>
      </w:pPr>
    </w:p>
    <w:p w14:paraId="43E41E41" w14:textId="21697284" w:rsidR="00D922D0" w:rsidRDefault="00D922D0" w:rsidP="00FD6375">
      <w:pPr>
        <w:spacing w:after="0" w:line="240" w:lineRule="auto"/>
        <w:jc w:val="both"/>
        <w:rPr>
          <w:rFonts w:ascii="Arial" w:hAnsi="Arial" w:cs="Arial"/>
        </w:rPr>
      </w:pPr>
    </w:p>
    <w:p w14:paraId="655AEFB1" w14:textId="6CAA4CEA" w:rsidR="00D922D0" w:rsidRDefault="00D922D0" w:rsidP="00FD6375">
      <w:pPr>
        <w:spacing w:after="0" w:line="240" w:lineRule="auto"/>
        <w:jc w:val="both"/>
        <w:rPr>
          <w:rFonts w:ascii="Arial" w:hAnsi="Arial" w:cs="Arial"/>
        </w:rPr>
      </w:pPr>
    </w:p>
    <w:p w14:paraId="5C559143" w14:textId="59B292AD" w:rsidR="00D922D0" w:rsidRDefault="00D922D0" w:rsidP="00FD6375">
      <w:pPr>
        <w:spacing w:after="0" w:line="240" w:lineRule="auto"/>
        <w:jc w:val="both"/>
        <w:rPr>
          <w:rFonts w:ascii="Arial" w:hAnsi="Arial" w:cs="Arial"/>
        </w:rPr>
      </w:pPr>
    </w:p>
    <w:p w14:paraId="5533B8D4" w14:textId="0DC9516D" w:rsidR="004B5A98" w:rsidRDefault="004B5A98" w:rsidP="00FD6375">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775"/>
        <w:gridCol w:w="2880"/>
        <w:gridCol w:w="3271"/>
      </w:tblGrid>
      <w:tr w:rsidR="00572FF1" w14:paraId="684B461F" w14:textId="7E05E644" w:rsidTr="00100A2D">
        <w:tc>
          <w:tcPr>
            <w:tcW w:w="9926" w:type="dxa"/>
            <w:gridSpan w:val="3"/>
            <w:shd w:val="clear" w:color="auto" w:fill="B4C6E7" w:themeFill="accent1" w:themeFillTint="66"/>
          </w:tcPr>
          <w:p w14:paraId="0C8DD30C" w14:textId="77777777" w:rsidR="00572FF1" w:rsidRPr="00BA11A2" w:rsidRDefault="00572FF1" w:rsidP="009F30B6">
            <w:pPr>
              <w:jc w:val="center"/>
              <w:rPr>
                <w:rFonts w:ascii="Arial" w:hAnsi="Arial" w:cs="Arial"/>
                <w:b/>
                <w:bCs/>
              </w:rPr>
            </w:pPr>
            <w:r w:rsidRPr="00BA11A2">
              <w:rPr>
                <w:rFonts w:ascii="Arial" w:hAnsi="Arial" w:cs="Arial"/>
                <w:b/>
                <w:bCs/>
              </w:rPr>
              <w:t xml:space="preserve">Non-Standard Agreements by Risk </w:t>
            </w:r>
            <w:r>
              <w:rPr>
                <w:rFonts w:ascii="Arial" w:hAnsi="Arial" w:cs="Arial"/>
                <w:b/>
                <w:bCs/>
              </w:rPr>
              <w:t>Level</w:t>
            </w:r>
            <w:r w:rsidRPr="00BA11A2">
              <w:rPr>
                <w:rFonts w:ascii="Arial" w:hAnsi="Arial" w:cs="Arial"/>
                <w:b/>
                <w:bCs/>
              </w:rPr>
              <w:t>*</w:t>
            </w:r>
          </w:p>
          <w:p w14:paraId="37E6183A" w14:textId="77777777" w:rsidR="00572FF1" w:rsidRPr="00BA11A2" w:rsidRDefault="00572FF1" w:rsidP="009F30B6">
            <w:pPr>
              <w:jc w:val="center"/>
              <w:rPr>
                <w:rFonts w:ascii="Arial" w:hAnsi="Arial" w:cs="Arial"/>
                <w:b/>
                <w:bCs/>
              </w:rPr>
            </w:pPr>
            <w:r w:rsidRPr="00BA11A2">
              <w:rPr>
                <w:rFonts w:ascii="Arial" w:hAnsi="Arial" w:cs="Arial"/>
                <w:b/>
                <w:bCs/>
              </w:rPr>
              <w:t>(Those requiring revision and negotiation)</w:t>
            </w:r>
          </w:p>
          <w:p w14:paraId="435FB756" w14:textId="77777777" w:rsidR="00572FF1" w:rsidRPr="00BA11A2" w:rsidRDefault="00572FF1" w:rsidP="009F30B6">
            <w:pPr>
              <w:jc w:val="center"/>
              <w:rPr>
                <w:rFonts w:ascii="Arial" w:hAnsi="Arial" w:cs="Arial"/>
                <w:b/>
                <w:bCs/>
              </w:rPr>
            </w:pPr>
          </w:p>
        </w:tc>
      </w:tr>
      <w:tr w:rsidR="00572FF1" w14:paraId="04F3A3F2" w14:textId="77777777" w:rsidTr="00572FF1">
        <w:tc>
          <w:tcPr>
            <w:tcW w:w="3775" w:type="dxa"/>
            <w:shd w:val="clear" w:color="auto" w:fill="FBE4D5" w:themeFill="accent2" w:themeFillTint="33"/>
          </w:tcPr>
          <w:p w14:paraId="4344163E" w14:textId="35E3FB68" w:rsidR="00572FF1" w:rsidRPr="00572FF1" w:rsidRDefault="00572FF1" w:rsidP="00572FF1">
            <w:pPr>
              <w:jc w:val="both"/>
              <w:rPr>
                <w:rFonts w:ascii="Arial" w:hAnsi="Arial" w:cs="Arial"/>
                <w:b/>
                <w:bCs/>
              </w:rPr>
            </w:pPr>
            <w:r w:rsidRPr="00572FF1">
              <w:rPr>
                <w:rFonts w:ascii="Arial" w:hAnsi="Arial" w:cs="Arial"/>
                <w:b/>
                <w:bCs/>
              </w:rPr>
              <w:t xml:space="preserve">Contract </w:t>
            </w:r>
            <w:r>
              <w:rPr>
                <w:rFonts w:ascii="Arial" w:hAnsi="Arial" w:cs="Arial"/>
                <w:b/>
                <w:bCs/>
              </w:rPr>
              <w:t>Risk Level</w:t>
            </w:r>
          </w:p>
          <w:p w14:paraId="63544B52" w14:textId="77777777" w:rsidR="00572FF1" w:rsidRPr="00FD76C1" w:rsidRDefault="00572FF1" w:rsidP="009F30B6">
            <w:pPr>
              <w:jc w:val="both"/>
              <w:rPr>
                <w:rFonts w:ascii="Arial" w:hAnsi="Arial" w:cs="Arial"/>
                <w:i/>
                <w:iCs/>
              </w:rPr>
            </w:pPr>
          </w:p>
        </w:tc>
        <w:tc>
          <w:tcPr>
            <w:tcW w:w="2880" w:type="dxa"/>
            <w:shd w:val="clear" w:color="auto" w:fill="FBE4D5" w:themeFill="accent2" w:themeFillTint="33"/>
          </w:tcPr>
          <w:p w14:paraId="33DA7FDB" w14:textId="0EBE53EA" w:rsidR="00572FF1" w:rsidRDefault="00572FF1" w:rsidP="009F30B6">
            <w:pPr>
              <w:jc w:val="both"/>
              <w:rPr>
                <w:rFonts w:ascii="Arial" w:hAnsi="Arial" w:cs="Arial"/>
              </w:rPr>
            </w:pPr>
            <w:r w:rsidRPr="00572FF1">
              <w:rPr>
                <w:rFonts w:ascii="Arial" w:hAnsi="Arial" w:cs="Arial"/>
                <w:b/>
                <w:bCs/>
              </w:rPr>
              <w:t>Typical BCO Cycle Time</w:t>
            </w:r>
          </w:p>
        </w:tc>
        <w:tc>
          <w:tcPr>
            <w:tcW w:w="3271" w:type="dxa"/>
            <w:shd w:val="clear" w:color="auto" w:fill="FBE4D5" w:themeFill="accent2" w:themeFillTint="33"/>
          </w:tcPr>
          <w:p w14:paraId="2E907503" w14:textId="34753669" w:rsidR="00572FF1" w:rsidRPr="00572FF1" w:rsidRDefault="00572FF1" w:rsidP="00572FF1">
            <w:pPr>
              <w:jc w:val="both"/>
              <w:rPr>
                <w:rFonts w:ascii="Arial" w:hAnsi="Arial" w:cs="Arial"/>
                <w:b/>
                <w:bCs/>
              </w:rPr>
            </w:pPr>
            <w:r w:rsidRPr="00572FF1">
              <w:rPr>
                <w:rFonts w:ascii="Arial" w:hAnsi="Arial" w:cs="Arial"/>
                <w:b/>
                <w:bCs/>
              </w:rPr>
              <w:t xml:space="preserve">Estimated Time for </w:t>
            </w:r>
            <w:r w:rsidR="008D1561">
              <w:rPr>
                <w:rFonts w:ascii="Arial" w:hAnsi="Arial" w:cs="Arial"/>
                <w:b/>
                <w:bCs/>
              </w:rPr>
              <w:t xml:space="preserve">Full </w:t>
            </w:r>
            <w:r w:rsidRPr="00572FF1">
              <w:rPr>
                <w:rFonts w:ascii="Arial" w:hAnsi="Arial" w:cs="Arial"/>
                <w:b/>
                <w:bCs/>
              </w:rPr>
              <w:t>Contract Execution</w:t>
            </w:r>
          </w:p>
          <w:p w14:paraId="6067B0B9" w14:textId="77777777" w:rsidR="00572FF1" w:rsidRDefault="00572FF1" w:rsidP="009F30B6">
            <w:pPr>
              <w:jc w:val="both"/>
              <w:rPr>
                <w:rFonts w:ascii="Arial" w:hAnsi="Arial" w:cs="Arial"/>
              </w:rPr>
            </w:pPr>
          </w:p>
        </w:tc>
      </w:tr>
      <w:tr w:rsidR="00572FF1" w14:paraId="2BB98BF3" w14:textId="4A09492A" w:rsidTr="00572FF1">
        <w:tc>
          <w:tcPr>
            <w:tcW w:w="3775" w:type="dxa"/>
            <w:shd w:val="clear" w:color="auto" w:fill="FBE4D5" w:themeFill="accent2" w:themeFillTint="33"/>
          </w:tcPr>
          <w:p w14:paraId="6B89F33F" w14:textId="77777777" w:rsidR="00572FF1" w:rsidRPr="00FD76C1" w:rsidRDefault="00572FF1" w:rsidP="009F30B6">
            <w:pPr>
              <w:jc w:val="both"/>
              <w:rPr>
                <w:rFonts w:ascii="Arial" w:hAnsi="Arial" w:cs="Arial"/>
                <w:i/>
                <w:iCs/>
              </w:rPr>
            </w:pPr>
            <w:r w:rsidRPr="00FD76C1">
              <w:rPr>
                <w:rFonts w:ascii="Arial" w:hAnsi="Arial" w:cs="Arial"/>
                <w:i/>
                <w:iCs/>
              </w:rPr>
              <w:t xml:space="preserve">Low Complexity and Risk </w:t>
            </w:r>
          </w:p>
          <w:p w14:paraId="3BA5D23E" w14:textId="5A78E8DB" w:rsidR="00572FF1" w:rsidRDefault="00572FF1" w:rsidP="009F30B6">
            <w:pPr>
              <w:jc w:val="both"/>
              <w:rPr>
                <w:rFonts w:ascii="Arial" w:hAnsi="Arial" w:cs="Arial"/>
              </w:rPr>
            </w:pPr>
          </w:p>
        </w:tc>
        <w:tc>
          <w:tcPr>
            <w:tcW w:w="2880" w:type="dxa"/>
            <w:shd w:val="clear" w:color="auto" w:fill="FBE4D5" w:themeFill="accent2" w:themeFillTint="33"/>
          </w:tcPr>
          <w:p w14:paraId="637F7507" w14:textId="68F8E657" w:rsidR="00572FF1" w:rsidRDefault="00572FF1" w:rsidP="009F30B6">
            <w:pPr>
              <w:jc w:val="both"/>
              <w:rPr>
                <w:rFonts w:ascii="Arial" w:hAnsi="Arial" w:cs="Arial"/>
              </w:rPr>
            </w:pPr>
            <w:r>
              <w:rPr>
                <w:rFonts w:ascii="Arial" w:hAnsi="Arial" w:cs="Arial"/>
              </w:rPr>
              <w:t>6 Business Days</w:t>
            </w:r>
          </w:p>
        </w:tc>
        <w:tc>
          <w:tcPr>
            <w:tcW w:w="3271" w:type="dxa"/>
            <w:shd w:val="clear" w:color="auto" w:fill="FBE4D5" w:themeFill="accent2" w:themeFillTint="33"/>
          </w:tcPr>
          <w:p w14:paraId="6148B1D0" w14:textId="28B0750E" w:rsidR="00572FF1" w:rsidRDefault="008D1561" w:rsidP="009F30B6">
            <w:pPr>
              <w:jc w:val="both"/>
              <w:rPr>
                <w:rFonts w:ascii="Arial" w:hAnsi="Arial" w:cs="Arial"/>
              </w:rPr>
            </w:pPr>
            <w:r>
              <w:rPr>
                <w:rFonts w:ascii="Arial" w:hAnsi="Arial" w:cs="Arial"/>
              </w:rPr>
              <w:t xml:space="preserve">10-14 </w:t>
            </w:r>
            <w:r w:rsidR="005E7846">
              <w:rPr>
                <w:rFonts w:ascii="Arial" w:hAnsi="Arial" w:cs="Arial"/>
              </w:rPr>
              <w:t>Business Days</w:t>
            </w:r>
          </w:p>
        </w:tc>
      </w:tr>
      <w:tr w:rsidR="00572FF1" w14:paraId="5B24AFC6" w14:textId="3CDA656F" w:rsidTr="00572FF1">
        <w:tc>
          <w:tcPr>
            <w:tcW w:w="3775" w:type="dxa"/>
            <w:shd w:val="clear" w:color="auto" w:fill="FBE4D5" w:themeFill="accent2" w:themeFillTint="33"/>
          </w:tcPr>
          <w:p w14:paraId="07E32CE7" w14:textId="77777777" w:rsidR="00572FF1" w:rsidRPr="00FD76C1" w:rsidRDefault="00572FF1" w:rsidP="009F30B6">
            <w:pPr>
              <w:jc w:val="both"/>
              <w:rPr>
                <w:rFonts w:ascii="Arial" w:hAnsi="Arial" w:cs="Arial"/>
                <w:i/>
                <w:iCs/>
              </w:rPr>
            </w:pPr>
            <w:r w:rsidRPr="00FD76C1">
              <w:rPr>
                <w:rFonts w:ascii="Arial" w:hAnsi="Arial" w:cs="Arial"/>
                <w:i/>
                <w:iCs/>
              </w:rPr>
              <w:t xml:space="preserve">Moderate Complexity and Risk </w:t>
            </w:r>
          </w:p>
          <w:p w14:paraId="4E11ED76" w14:textId="7F58AC9E" w:rsidR="00572FF1" w:rsidRDefault="00572FF1" w:rsidP="009F30B6">
            <w:pPr>
              <w:jc w:val="both"/>
              <w:rPr>
                <w:rFonts w:ascii="Arial" w:hAnsi="Arial" w:cs="Arial"/>
              </w:rPr>
            </w:pPr>
          </w:p>
        </w:tc>
        <w:tc>
          <w:tcPr>
            <w:tcW w:w="2880" w:type="dxa"/>
            <w:shd w:val="clear" w:color="auto" w:fill="FBE4D5" w:themeFill="accent2" w:themeFillTint="33"/>
          </w:tcPr>
          <w:p w14:paraId="20CFB377" w14:textId="7AFF4100" w:rsidR="00572FF1" w:rsidRDefault="008D1561" w:rsidP="009F30B6">
            <w:pPr>
              <w:jc w:val="both"/>
              <w:rPr>
                <w:rFonts w:ascii="Arial" w:hAnsi="Arial" w:cs="Arial"/>
              </w:rPr>
            </w:pPr>
            <w:r>
              <w:rPr>
                <w:rFonts w:ascii="Arial" w:hAnsi="Arial" w:cs="Arial"/>
              </w:rPr>
              <w:t>10</w:t>
            </w:r>
            <w:r w:rsidR="00572FF1">
              <w:rPr>
                <w:rFonts w:ascii="Arial" w:hAnsi="Arial" w:cs="Arial"/>
              </w:rPr>
              <w:t xml:space="preserve"> Business Days</w:t>
            </w:r>
          </w:p>
        </w:tc>
        <w:tc>
          <w:tcPr>
            <w:tcW w:w="3271" w:type="dxa"/>
            <w:shd w:val="clear" w:color="auto" w:fill="FBE4D5" w:themeFill="accent2" w:themeFillTint="33"/>
          </w:tcPr>
          <w:p w14:paraId="21722A3E" w14:textId="509E17C1" w:rsidR="00572FF1" w:rsidRDefault="005E7846" w:rsidP="009F30B6">
            <w:pPr>
              <w:jc w:val="both"/>
              <w:rPr>
                <w:rFonts w:ascii="Arial" w:hAnsi="Arial" w:cs="Arial"/>
              </w:rPr>
            </w:pPr>
            <w:r>
              <w:rPr>
                <w:rFonts w:ascii="Arial" w:hAnsi="Arial" w:cs="Arial"/>
              </w:rPr>
              <w:t>1</w:t>
            </w:r>
            <w:r w:rsidR="008D1561">
              <w:rPr>
                <w:rFonts w:ascii="Arial" w:hAnsi="Arial" w:cs="Arial"/>
              </w:rPr>
              <w:t>-2</w:t>
            </w:r>
            <w:r>
              <w:rPr>
                <w:rFonts w:ascii="Arial" w:hAnsi="Arial" w:cs="Arial"/>
              </w:rPr>
              <w:t xml:space="preserve"> Month</w:t>
            </w:r>
            <w:r w:rsidR="008D1561">
              <w:rPr>
                <w:rFonts w:ascii="Arial" w:hAnsi="Arial" w:cs="Arial"/>
              </w:rPr>
              <w:t>s</w:t>
            </w:r>
          </w:p>
        </w:tc>
      </w:tr>
      <w:tr w:rsidR="00572FF1" w14:paraId="1D078667" w14:textId="33CB5AF9" w:rsidTr="00572FF1">
        <w:tc>
          <w:tcPr>
            <w:tcW w:w="3775" w:type="dxa"/>
            <w:shd w:val="clear" w:color="auto" w:fill="FBE4D5" w:themeFill="accent2" w:themeFillTint="33"/>
          </w:tcPr>
          <w:p w14:paraId="47C881FD" w14:textId="77777777" w:rsidR="00572FF1" w:rsidRPr="00FD76C1" w:rsidRDefault="00572FF1" w:rsidP="009F30B6">
            <w:pPr>
              <w:jc w:val="both"/>
              <w:rPr>
                <w:rFonts w:ascii="Arial" w:hAnsi="Arial" w:cs="Arial"/>
                <w:i/>
                <w:iCs/>
              </w:rPr>
            </w:pPr>
            <w:r w:rsidRPr="00FD76C1">
              <w:rPr>
                <w:rFonts w:ascii="Arial" w:hAnsi="Arial" w:cs="Arial"/>
                <w:i/>
                <w:iCs/>
              </w:rPr>
              <w:t xml:space="preserve">High Complexity and Risk </w:t>
            </w:r>
          </w:p>
          <w:p w14:paraId="02660C32" w14:textId="5616E7D4" w:rsidR="00572FF1" w:rsidRDefault="00572FF1" w:rsidP="009F30B6">
            <w:pPr>
              <w:jc w:val="both"/>
              <w:rPr>
                <w:rFonts w:ascii="Arial" w:hAnsi="Arial" w:cs="Arial"/>
              </w:rPr>
            </w:pPr>
          </w:p>
        </w:tc>
        <w:tc>
          <w:tcPr>
            <w:tcW w:w="2880" w:type="dxa"/>
            <w:shd w:val="clear" w:color="auto" w:fill="FBE4D5" w:themeFill="accent2" w:themeFillTint="33"/>
          </w:tcPr>
          <w:p w14:paraId="1FEE88EC" w14:textId="13A10C8D" w:rsidR="00572FF1" w:rsidRDefault="00572FF1" w:rsidP="009F30B6">
            <w:pPr>
              <w:jc w:val="both"/>
              <w:rPr>
                <w:rFonts w:ascii="Arial" w:hAnsi="Arial" w:cs="Arial"/>
              </w:rPr>
            </w:pPr>
            <w:r>
              <w:rPr>
                <w:rFonts w:ascii="Arial" w:hAnsi="Arial" w:cs="Arial"/>
              </w:rPr>
              <w:t>14 Business Days</w:t>
            </w:r>
          </w:p>
        </w:tc>
        <w:tc>
          <w:tcPr>
            <w:tcW w:w="3271" w:type="dxa"/>
            <w:shd w:val="clear" w:color="auto" w:fill="FBE4D5" w:themeFill="accent2" w:themeFillTint="33"/>
          </w:tcPr>
          <w:p w14:paraId="1B6DE31E" w14:textId="57978F3E" w:rsidR="00572FF1" w:rsidRDefault="005E7846" w:rsidP="009F30B6">
            <w:pPr>
              <w:jc w:val="both"/>
              <w:rPr>
                <w:rFonts w:ascii="Arial" w:hAnsi="Arial" w:cs="Arial"/>
              </w:rPr>
            </w:pPr>
            <w:r>
              <w:rPr>
                <w:rFonts w:ascii="Arial" w:hAnsi="Arial" w:cs="Arial"/>
              </w:rPr>
              <w:t>3</w:t>
            </w:r>
            <w:r w:rsidR="008D1561">
              <w:rPr>
                <w:rFonts w:ascii="Arial" w:hAnsi="Arial" w:cs="Arial"/>
              </w:rPr>
              <w:t>-4</w:t>
            </w:r>
            <w:r>
              <w:rPr>
                <w:rFonts w:ascii="Arial" w:hAnsi="Arial" w:cs="Arial"/>
              </w:rPr>
              <w:t xml:space="preserve"> Months</w:t>
            </w:r>
          </w:p>
        </w:tc>
      </w:tr>
    </w:tbl>
    <w:p w14:paraId="6FD5FAC0" w14:textId="5DCA823F" w:rsidR="001D6680" w:rsidRDefault="001D6680" w:rsidP="00FD6375">
      <w:pPr>
        <w:spacing w:after="0" w:line="240" w:lineRule="auto"/>
        <w:jc w:val="both"/>
        <w:rPr>
          <w:rFonts w:ascii="Arial" w:hAnsi="Arial" w:cs="Arial"/>
        </w:rPr>
      </w:pPr>
    </w:p>
    <w:p w14:paraId="3CF3A3F9" w14:textId="34A3C736" w:rsidR="00B41A52" w:rsidRDefault="008D1561" w:rsidP="00FD6375">
      <w:pPr>
        <w:spacing w:after="0" w:line="240" w:lineRule="auto"/>
        <w:jc w:val="both"/>
        <w:rPr>
          <w:rFonts w:ascii="Arial" w:hAnsi="Arial" w:cs="Arial"/>
        </w:rPr>
      </w:pPr>
      <w:r>
        <w:rPr>
          <w:rFonts w:ascii="Arial" w:hAnsi="Arial" w:cs="Arial"/>
        </w:rPr>
        <w:t>*</w:t>
      </w:r>
      <w:r w:rsidR="00B41A52" w:rsidRPr="00D922D0">
        <w:rPr>
          <w:rFonts w:ascii="Arial" w:hAnsi="Arial" w:cs="Arial"/>
          <w:b/>
          <w:bCs/>
          <w:i/>
          <w:iCs/>
        </w:rPr>
        <w:t xml:space="preserve">Risk </w:t>
      </w:r>
      <w:r w:rsidR="0076654E" w:rsidRPr="00D922D0">
        <w:rPr>
          <w:rFonts w:ascii="Arial" w:hAnsi="Arial" w:cs="Arial"/>
          <w:b/>
          <w:bCs/>
          <w:i/>
          <w:iCs/>
        </w:rPr>
        <w:t>Level</w:t>
      </w:r>
      <w:r w:rsidR="00B41A52">
        <w:rPr>
          <w:rFonts w:ascii="Arial" w:hAnsi="Arial" w:cs="Arial"/>
        </w:rPr>
        <w:t xml:space="preserve"> is determined almost entirely by the scope of obligations within a contract, although dollar value may have some impact on risk.  For example, a hosted software agreement involving student data or other confidential or sensitive data will signify a high</w:t>
      </w:r>
      <w:r w:rsidR="0075501D">
        <w:rPr>
          <w:rFonts w:ascii="Arial" w:hAnsi="Arial" w:cs="Arial"/>
        </w:rPr>
        <w:t>er</w:t>
      </w:r>
      <w:r w:rsidR="00B41A52">
        <w:rPr>
          <w:rFonts w:ascii="Arial" w:hAnsi="Arial" w:cs="Arial"/>
        </w:rPr>
        <w:t xml:space="preserve"> risk agreement.    </w:t>
      </w:r>
    </w:p>
    <w:p w14:paraId="6FB7851A" w14:textId="59E1F6A4" w:rsidR="00E740A9" w:rsidRDefault="00E740A9" w:rsidP="00802B3E">
      <w:pPr>
        <w:spacing w:after="0" w:line="240" w:lineRule="auto"/>
        <w:jc w:val="both"/>
        <w:rPr>
          <w:rFonts w:ascii="Arial" w:hAnsi="Arial" w:cs="Arial"/>
          <w:b/>
          <w:bCs/>
        </w:rPr>
      </w:pPr>
    </w:p>
    <w:sectPr w:rsidR="00E740A9" w:rsidSect="00AE0564">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05DF3" w14:textId="77777777" w:rsidR="00B471B4" w:rsidRDefault="00B471B4" w:rsidP="00B41A52">
      <w:pPr>
        <w:spacing w:after="0" w:line="240" w:lineRule="auto"/>
      </w:pPr>
      <w:r>
        <w:separator/>
      </w:r>
    </w:p>
  </w:endnote>
  <w:endnote w:type="continuationSeparator" w:id="0">
    <w:p w14:paraId="29E8C722" w14:textId="77777777" w:rsidR="00B471B4" w:rsidRDefault="00B471B4" w:rsidP="00B4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iCs/>
        <w:sz w:val="16"/>
        <w:szCs w:val="16"/>
      </w:rPr>
      <w:id w:val="575251035"/>
      <w:docPartObj>
        <w:docPartGallery w:val="Page Numbers (Bottom of Page)"/>
        <w:docPartUnique/>
      </w:docPartObj>
    </w:sdtPr>
    <w:sdtEndPr/>
    <w:sdtContent>
      <w:sdt>
        <w:sdtPr>
          <w:rPr>
            <w:rFonts w:ascii="Arial" w:hAnsi="Arial" w:cs="Arial"/>
            <w:i/>
            <w:iCs/>
            <w:sz w:val="16"/>
            <w:szCs w:val="16"/>
          </w:rPr>
          <w:id w:val="-1769616900"/>
          <w:docPartObj>
            <w:docPartGallery w:val="Page Numbers (Top of Page)"/>
            <w:docPartUnique/>
          </w:docPartObj>
        </w:sdtPr>
        <w:sdtEndPr/>
        <w:sdtContent>
          <w:p w14:paraId="18FD53D1" w14:textId="151C3C0F" w:rsidR="00B41A52" w:rsidRPr="00B41A52" w:rsidRDefault="00B41A52">
            <w:pPr>
              <w:pStyle w:val="Footer"/>
              <w:jc w:val="right"/>
              <w:rPr>
                <w:rFonts w:ascii="Arial" w:hAnsi="Arial" w:cs="Arial"/>
                <w:i/>
                <w:iCs/>
                <w:sz w:val="16"/>
                <w:szCs w:val="16"/>
              </w:rPr>
            </w:pPr>
            <w:r w:rsidRPr="00B41A52">
              <w:rPr>
                <w:rFonts w:ascii="Arial" w:hAnsi="Arial" w:cs="Arial"/>
                <w:i/>
                <w:iCs/>
                <w:sz w:val="16"/>
                <w:szCs w:val="16"/>
              </w:rPr>
              <w:t xml:space="preserve">Page </w:t>
            </w:r>
            <w:r w:rsidRPr="00B41A52">
              <w:rPr>
                <w:rFonts w:ascii="Arial" w:hAnsi="Arial" w:cs="Arial"/>
                <w:i/>
                <w:iCs/>
                <w:sz w:val="16"/>
                <w:szCs w:val="16"/>
              </w:rPr>
              <w:fldChar w:fldCharType="begin"/>
            </w:r>
            <w:r w:rsidRPr="00B41A52">
              <w:rPr>
                <w:rFonts w:ascii="Arial" w:hAnsi="Arial" w:cs="Arial"/>
                <w:i/>
                <w:iCs/>
                <w:sz w:val="16"/>
                <w:szCs w:val="16"/>
              </w:rPr>
              <w:instrText xml:space="preserve"> PAGE </w:instrText>
            </w:r>
            <w:r w:rsidRPr="00B41A52">
              <w:rPr>
                <w:rFonts w:ascii="Arial" w:hAnsi="Arial" w:cs="Arial"/>
                <w:i/>
                <w:iCs/>
                <w:sz w:val="16"/>
                <w:szCs w:val="16"/>
              </w:rPr>
              <w:fldChar w:fldCharType="separate"/>
            </w:r>
            <w:r w:rsidRPr="00B41A52">
              <w:rPr>
                <w:rFonts w:ascii="Arial" w:hAnsi="Arial" w:cs="Arial"/>
                <w:i/>
                <w:iCs/>
                <w:noProof/>
                <w:sz w:val="16"/>
                <w:szCs w:val="16"/>
              </w:rPr>
              <w:t>2</w:t>
            </w:r>
            <w:r w:rsidRPr="00B41A52">
              <w:rPr>
                <w:rFonts w:ascii="Arial" w:hAnsi="Arial" w:cs="Arial"/>
                <w:i/>
                <w:iCs/>
                <w:sz w:val="16"/>
                <w:szCs w:val="16"/>
              </w:rPr>
              <w:fldChar w:fldCharType="end"/>
            </w:r>
            <w:r w:rsidRPr="00B41A52">
              <w:rPr>
                <w:rFonts w:ascii="Arial" w:hAnsi="Arial" w:cs="Arial"/>
                <w:i/>
                <w:iCs/>
                <w:sz w:val="16"/>
                <w:szCs w:val="16"/>
              </w:rPr>
              <w:t xml:space="preserve"> of </w:t>
            </w:r>
            <w:r w:rsidRPr="00B41A52">
              <w:rPr>
                <w:rFonts w:ascii="Arial" w:hAnsi="Arial" w:cs="Arial"/>
                <w:i/>
                <w:iCs/>
                <w:sz w:val="16"/>
                <w:szCs w:val="16"/>
              </w:rPr>
              <w:fldChar w:fldCharType="begin"/>
            </w:r>
            <w:r w:rsidRPr="00B41A52">
              <w:rPr>
                <w:rFonts w:ascii="Arial" w:hAnsi="Arial" w:cs="Arial"/>
                <w:i/>
                <w:iCs/>
                <w:sz w:val="16"/>
                <w:szCs w:val="16"/>
              </w:rPr>
              <w:instrText xml:space="preserve"> NUMPAGES  </w:instrText>
            </w:r>
            <w:r w:rsidRPr="00B41A52">
              <w:rPr>
                <w:rFonts w:ascii="Arial" w:hAnsi="Arial" w:cs="Arial"/>
                <w:i/>
                <w:iCs/>
                <w:sz w:val="16"/>
                <w:szCs w:val="16"/>
              </w:rPr>
              <w:fldChar w:fldCharType="separate"/>
            </w:r>
            <w:r w:rsidRPr="00B41A52">
              <w:rPr>
                <w:rFonts w:ascii="Arial" w:hAnsi="Arial" w:cs="Arial"/>
                <w:i/>
                <w:iCs/>
                <w:noProof/>
                <w:sz w:val="16"/>
                <w:szCs w:val="16"/>
              </w:rPr>
              <w:t>2</w:t>
            </w:r>
            <w:r w:rsidRPr="00B41A52">
              <w:rPr>
                <w:rFonts w:ascii="Arial" w:hAnsi="Arial" w:cs="Arial"/>
                <w:i/>
                <w:iCs/>
                <w:sz w:val="16"/>
                <w:szCs w:val="16"/>
              </w:rPr>
              <w:fldChar w:fldCharType="end"/>
            </w:r>
          </w:p>
        </w:sdtContent>
      </w:sdt>
    </w:sdtContent>
  </w:sdt>
  <w:p w14:paraId="0EBCD00E" w14:textId="77777777" w:rsidR="00B41A52" w:rsidRDefault="00B41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C89A" w14:textId="77777777" w:rsidR="00B471B4" w:rsidRDefault="00B471B4" w:rsidP="00B41A52">
      <w:pPr>
        <w:spacing w:after="0" w:line="240" w:lineRule="auto"/>
      </w:pPr>
      <w:r>
        <w:separator/>
      </w:r>
    </w:p>
  </w:footnote>
  <w:footnote w:type="continuationSeparator" w:id="0">
    <w:p w14:paraId="56CCF4B9" w14:textId="77777777" w:rsidR="00B471B4" w:rsidRDefault="00B471B4" w:rsidP="00B41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0E"/>
    <w:rsid w:val="00142C28"/>
    <w:rsid w:val="001D6680"/>
    <w:rsid w:val="00207EC2"/>
    <w:rsid w:val="002F23B7"/>
    <w:rsid w:val="00327E47"/>
    <w:rsid w:val="00370F0A"/>
    <w:rsid w:val="00490C0E"/>
    <w:rsid w:val="004A74CA"/>
    <w:rsid w:val="004B5A98"/>
    <w:rsid w:val="004C628C"/>
    <w:rsid w:val="00520DBA"/>
    <w:rsid w:val="00547CB6"/>
    <w:rsid w:val="00572FF1"/>
    <w:rsid w:val="005A08F5"/>
    <w:rsid w:val="005C280D"/>
    <w:rsid w:val="005E7846"/>
    <w:rsid w:val="006641B0"/>
    <w:rsid w:val="007317A6"/>
    <w:rsid w:val="0075501D"/>
    <w:rsid w:val="00763BA6"/>
    <w:rsid w:val="0076654E"/>
    <w:rsid w:val="00802B3E"/>
    <w:rsid w:val="008421FE"/>
    <w:rsid w:val="00873EF3"/>
    <w:rsid w:val="008D1561"/>
    <w:rsid w:val="009125DF"/>
    <w:rsid w:val="009943A5"/>
    <w:rsid w:val="00994F9F"/>
    <w:rsid w:val="00AA76B3"/>
    <w:rsid w:val="00AE0564"/>
    <w:rsid w:val="00B41A52"/>
    <w:rsid w:val="00B471B4"/>
    <w:rsid w:val="00BA11A2"/>
    <w:rsid w:val="00D05B1C"/>
    <w:rsid w:val="00D80530"/>
    <w:rsid w:val="00D922D0"/>
    <w:rsid w:val="00E2428E"/>
    <w:rsid w:val="00E505D3"/>
    <w:rsid w:val="00E740A9"/>
    <w:rsid w:val="00E870A5"/>
    <w:rsid w:val="00EF0264"/>
    <w:rsid w:val="00F26562"/>
    <w:rsid w:val="00FD541A"/>
    <w:rsid w:val="00FD6375"/>
    <w:rsid w:val="00FD76C1"/>
    <w:rsid w:val="00FE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2163"/>
  <w15:chartTrackingRefBased/>
  <w15:docId w15:val="{9F643C04-649A-4C23-B3EE-4F4475E5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52"/>
  </w:style>
  <w:style w:type="paragraph" w:styleId="Footer">
    <w:name w:val="footer"/>
    <w:basedOn w:val="Normal"/>
    <w:link w:val="FooterChar"/>
    <w:uiPriority w:val="99"/>
    <w:unhideWhenUsed/>
    <w:rsid w:val="00B4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52"/>
  </w:style>
  <w:style w:type="paragraph" w:styleId="NoSpacing">
    <w:name w:val="No Spacing"/>
    <w:uiPriority w:val="1"/>
    <w:qFormat/>
    <w:rsid w:val="00755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89604">
      <w:bodyDiv w:val="1"/>
      <w:marLeft w:val="0"/>
      <w:marRight w:val="0"/>
      <w:marTop w:val="0"/>
      <w:marBottom w:val="0"/>
      <w:divBdr>
        <w:top w:val="none" w:sz="0" w:space="0" w:color="auto"/>
        <w:left w:val="none" w:sz="0" w:space="0" w:color="auto"/>
        <w:bottom w:val="none" w:sz="0" w:space="0" w:color="auto"/>
        <w:right w:val="none" w:sz="0" w:space="0" w:color="auto"/>
      </w:divBdr>
    </w:div>
    <w:div w:id="74607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1432CAC66FE40B6DF012A639B79C2" ma:contentTypeVersion="17" ma:contentTypeDescription="Create a new document." ma:contentTypeScope="" ma:versionID="beffdb223a83dad2ec9702fc8f7a2871">
  <xsd:schema xmlns:xsd="http://www.w3.org/2001/XMLSchema" xmlns:xs="http://www.w3.org/2001/XMLSchema" xmlns:p="http://schemas.microsoft.com/office/2006/metadata/properties" xmlns:ns3="31c872b1-8a8c-4d33-ad32-1d55efbd75aa" xmlns:ns4="06b9769f-2505-4209-9ef5-80c8272ad829" targetNamespace="http://schemas.microsoft.com/office/2006/metadata/properties" ma:root="true" ma:fieldsID="f70ec73f79e87c641bea915949e1ece3" ns3:_="" ns4:_="">
    <xsd:import namespace="31c872b1-8a8c-4d33-ad32-1d55efbd75aa"/>
    <xsd:import namespace="06b9769f-2505-4209-9ef5-80c8272ad8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Location" minOccurs="0"/>
                <xsd:element ref="ns4:MediaServiceObjectDetectorVersions" minOccurs="0"/>
                <xsd:element ref="ns4:MediaLengthInSecond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872b1-8a8c-4d33-ad32-1d55efbd7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9769f-2505-4209-9ef5-80c8272ad8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b9769f-2505-4209-9ef5-80c8272ad829" xsi:nil="true"/>
  </documentManagement>
</p:properties>
</file>

<file path=customXml/itemProps1.xml><?xml version="1.0" encoding="utf-8"?>
<ds:datastoreItem xmlns:ds="http://schemas.openxmlformats.org/officeDocument/2006/customXml" ds:itemID="{493F49EC-E483-4C01-BD12-4FC6F0F25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872b1-8a8c-4d33-ad32-1d55efbd75aa"/>
    <ds:schemaRef ds:uri="06b9769f-2505-4209-9ef5-80c8272ad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8D46-17BC-4927-AB29-3AB4F1B21B62}">
  <ds:schemaRefs>
    <ds:schemaRef ds:uri="http://schemas.microsoft.com/sharepoint/v3/contenttype/forms"/>
  </ds:schemaRefs>
</ds:datastoreItem>
</file>

<file path=customXml/itemProps3.xml><?xml version="1.0" encoding="utf-8"?>
<ds:datastoreItem xmlns:ds="http://schemas.openxmlformats.org/officeDocument/2006/customXml" ds:itemID="{4FD9D74F-BF7B-4E65-B69E-8A7EAA86C6C2}">
  <ds:schemaRefs>
    <ds:schemaRef ds:uri="31c872b1-8a8c-4d33-ad32-1d55efbd75aa"/>
    <ds:schemaRef ds:uri="06b9769f-2505-4209-9ef5-80c8272ad829"/>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San Antonio</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Dickens</dc:creator>
  <cp:keywords/>
  <dc:description/>
  <cp:lastModifiedBy>Kelli Morrison</cp:lastModifiedBy>
  <cp:revision>2</cp:revision>
  <dcterms:created xsi:type="dcterms:W3CDTF">2023-12-14T03:27:00Z</dcterms:created>
  <dcterms:modified xsi:type="dcterms:W3CDTF">2023-12-14T03:27:00Z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0x01010078E1432CAC66FE40B6DF012A639B79C2</vt:lpwstr>
  </property>
</Properties>
</file>