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6BB52" w14:textId="77777777" w:rsidR="00D41207" w:rsidRDefault="0069171C">
      <w:pPr>
        <w:jc w:val="center"/>
      </w:pPr>
      <w:r>
        <w:rPr>
          <w:b/>
          <w:sz w:val="28"/>
        </w:rPr>
        <w:t>Arc Publication List — APA Format</w:t>
      </w:r>
    </w:p>
    <w:p w14:paraId="13ECF629" w14:textId="506A43CE" w:rsidR="00D41207" w:rsidRPr="00161A6D" w:rsidRDefault="0069171C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i/>
          <w:sz w:val="24"/>
          <w:szCs w:val="24"/>
        </w:rPr>
        <w:t xml:space="preserve"> September 8, 2026</w:t>
      </w:r>
    </w:p>
    <w:p w14:paraId="04AC2D4F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161A6D">
        <w:rPr>
          <w:rFonts w:ascii="Times New Roman" w:hAnsi="Times New Roman" w:cs="Times New Roman"/>
          <w:sz w:val="24"/>
          <w:szCs w:val="24"/>
        </w:rPr>
        <w:t xml:space="preserve">Anantua, R., Ricarte, A., Wong, G., Emami, R., Blandford, R., Oramas, L., West, H., Duran, J., &amp; Curd, B. (2024). On the comparison of AGN with GRMHD simulations—II. M87. </w:t>
      </w:r>
      <w:r w:rsidRPr="00161A6D">
        <w:rPr>
          <w:rFonts w:ascii="Times New Roman" w:hAnsi="Times New Roman" w:cs="Times New Roman"/>
          <w:i/>
          <w:sz w:val="24"/>
          <w:szCs w:val="24"/>
        </w:rPr>
        <w:t>Monthly Notices of the Royal Astronomical Society, 528</w:t>
      </w:r>
      <w:r w:rsidRPr="00161A6D">
        <w:rPr>
          <w:rFonts w:ascii="Times New Roman" w:hAnsi="Times New Roman" w:cs="Times New Roman"/>
          <w:sz w:val="24"/>
          <w:szCs w:val="24"/>
        </w:rPr>
        <w:t>(1), 735–756. https://doi.org/10.1093/mnras/stad3998</w:t>
      </w:r>
    </w:p>
    <w:p w14:paraId="5C52DBD5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161A6D">
        <w:rPr>
          <w:rFonts w:ascii="Times New Roman" w:hAnsi="Times New Roman" w:cs="Times New Roman"/>
          <w:sz w:val="24"/>
          <w:szCs w:val="24"/>
        </w:rPr>
        <w:t xml:space="preserve">Avidani, Y., Angert, A., Davidson, C., Xia, X., Gao, Y., &amp; Amrani, A. (2024). Sulfur isotopic fractionation during hydrolysis of carbonyl sulfide. </w:t>
      </w:r>
      <w:r w:rsidRPr="00161A6D">
        <w:rPr>
          <w:rFonts w:ascii="Times New Roman" w:hAnsi="Times New Roman" w:cs="Times New Roman"/>
          <w:i/>
          <w:sz w:val="24"/>
          <w:szCs w:val="24"/>
        </w:rPr>
        <w:t>Marine Chemistry, 267</w:t>
      </w:r>
      <w:r w:rsidRPr="00161A6D">
        <w:rPr>
          <w:rFonts w:ascii="Times New Roman" w:hAnsi="Times New Roman" w:cs="Times New Roman"/>
          <w:sz w:val="24"/>
          <w:szCs w:val="24"/>
        </w:rPr>
        <w:t>, 104458. https://doi.org/10.1016/j.marchem.2024.104458</w:t>
      </w:r>
    </w:p>
    <w:p w14:paraId="71C853B1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161A6D">
        <w:rPr>
          <w:rFonts w:ascii="Times New Roman" w:hAnsi="Times New Roman" w:cs="Times New Roman"/>
          <w:sz w:val="24"/>
          <w:szCs w:val="24"/>
        </w:rPr>
        <w:t xml:space="preserve">Bagherian, A., Abbasi Ghiri, A., Ramzanpour, M., Wallace, J., Elashy, S., &amp; Seidi, M. (2025). Position-based assessment of head impact frequency, severity, type, and location in high school American football. </w:t>
      </w:r>
      <w:r w:rsidRPr="00161A6D">
        <w:rPr>
          <w:rFonts w:ascii="Times New Roman" w:hAnsi="Times New Roman" w:cs="Times New Roman"/>
          <w:i/>
          <w:sz w:val="24"/>
          <w:szCs w:val="24"/>
        </w:rPr>
        <w:t>Frontiers in Bioengineering and Biotechnology, 12</w:t>
      </w:r>
      <w:r w:rsidRPr="00161A6D">
        <w:rPr>
          <w:rFonts w:ascii="Times New Roman" w:hAnsi="Times New Roman" w:cs="Times New Roman"/>
          <w:sz w:val="24"/>
          <w:szCs w:val="24"/>
        </w:rPr>
        <w:t>. https://doi.org/10.3389/fbioe.2024.1500786</w:t>
      </w:r>
    </w:p>
    <w:p w14:paraId="2D3F9AEC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161A6D">
        <w:rPr>
          <w:rFonts w:ascii="Times New Roman" w:hAnsi="Times New Roman" w:cs="Times New Roman"/>
          <w:sz w:val="24"/>
          <w:szCs w:val="24"/>
        </w:rPr>
        <w:t xml:space="preserve">Castillo, O., Mancillas, J., Hughes, W., &amp; Brancaleon, L. (2022). Characterization of the interaction of metal-protoporphyrins photosensitizers with β-lactoglobulin. </w:t>
      </w:r>
      <w:r w:rsidRPr="00161A6D">
        <w:rPr>
          <w:rFonts w:ascii="Times New Roman" w:hAnsi="Times New Roman" w:cs="Times New Roman"/>
          <w:i/>
          <w:sz w:val="24"/>
          <w:szCs w:val="24"/>
        </w:rPr>
        <w:t>Biophysical Chemistry</w:t>
      </w:r>
      <w:r w:rsidRPr="00161A6D">
        <w:rPr>
          <w:rFonts w:ascii="Times New Roman" w:hAnsi="Times New Roman" w:cs="Times New Roman"/>
          <w:sz w:val="24"/>
          <w:szCs w:val="24"/>
        </w:rPr>
        <w:t>, 106918. https://doi.org/10.1016/j.bpc.2022.106918</w:t>
      </w:r>
    </w:p>
    <w:p w14:paraId="7C271FAE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161A6D">
        <w:rPr>
          <w:rFonts w:ascii="Times New Roman" w:hAnsi="Times New Roman" w:cs="Times New Roman"/>
          <w:sz w:val="24"/>
          <w:szCs w:val="24"/>
        </w:rPr>
        <w:t xml:space="preserve">Chen, R., Dao, M., Wu, L., Ye, K., &amp; Wang, M. (2025). Bayesian quantile semiparametric mixed-effects double regression models for analyzing longitudinal data with non-ignorable missing responses. </w:t>
      </w:r>
      <w:r w:rsidRPr="00161A6D">
        <w:rPr>
          <w:rFonts w:ascii="Times New Roman" w:hAnsi="Times New Roman" w:cs="Times New Roman"/>
          <w:i/>
          <w:sz w:val="24"/>
          <w:szCs w:val="24"/>
        </w:rPr>
        <w:t>Statistical Analysis and Data Mining: The ASA Data Science Journal, 18</w:t>
      </w:r>
      <w:r w:rsidRPr="00161A6D">
        <w:rPr>
          <w:rFonts w:ascii="Times New Roman" w:hAnsi="Times New Roman" w:cs="Times New Roman"/>
          <w:sz w:val="24"/>
          <w:szCs w:val="24"/>
        </w:rPr>
        <w:t>(5), e70048. https://doi.org/10.1002/sam.70048</w:t>
      </w:r>
    </w:p>
    <w:p w14:paraId="03F74F26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161A6D">
        <w:rPr>
          <w:rFonts w:ascii="Times New Roman" w:hAnsi="Times New Roman" w:cs="Times New Roman"/>
          <w:sz w:val="24"/>
          <w:szCs w:val="24"/>
        </w:rPr>
        <w:t xml:space="preserve">Chen, R., Dao, M., Ye, K., &amp; Wang, M. (2025). Bayesian adaptive lasso quantile regression with non-ignorable missing responses. </w:t>
      </w:r>
      <w:r w:rsidRPr="00161A6D">
        <w:rPr>
          <w:rFonts w:ascii="Times New Roman" w:hAnsi="Times New Roman" w:cs="Times New Roman"/>
          <w:i/>
          <w:sz w:val="24"/>
          <w:szCs w:val="24"/>
        </w:rPr>
        <w:t>Computational Statistics, 40</w:t>
      </w:r>
      <w:r w:rsidRPr="00161A6D">
        <w:rPr>
          <w:rFonts w:ascii="Times New Roman" w:hAnsi="Times New Roman" w:cs="Times New Roman"/>
          <w:sz w:val="24"/>
          <w:szCs w:val="24"/>
        </w:rPr>
        <w:t>, 1643–1682. https://doi.org/10.1007/s00180-024-01546-6</w:t>
      </w:r>
    </w:p>
    <w:p w14:paraId="41A41EE0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161A6D">
        <w:rPr>
          <w:rFonts w:ascii="Times New Roman" w:hAnsi="Times New Roman" w:cs="Times New Roman"/>
          <w:sz w:val="24"/>
          <w:szCs w:val="24"/>
        </w:rPr>
        <w:t xml:space="preserve">Cheng, K., Chen, I. C., Cheng, C. E., Mutoji, K., Hale, B. J., Hermann, B. P., Geyer, C. B., Oatley, J. M., &amp; McCarrey, J. R. (2020). Unique epigenetic programming distinguishes regenerative spermatogonial stem cells in the developing mouse testis. </w:t>
      </w:r>
      <w:r w:rsidRPr="00161A6D">
        <w:rPr>
          <w:rFonts w:ascii="Times New Roman" w:hAnsi="Times New Roman" w:cs="Times New Roman"/>
          <w:i/>
          <w:sz w:val="24"/>
          <w:szCs w:val="24"/>
        </w:rPr>
        <w:t>iScience, 23</w:t>
      </w:r>
      <w:r w:rsidRPr="00161A6D">
        <w:rPr>
          <w:rFonts w:ascii="Times New Roman" w:hAnsi="Times New Roman" w:cs="Times New Roman"/>
          <w:sz w:val="24"/>
          <w:szCs w:val="24"/>
        </w:rPr>
        <w:t>(10), 101596. https://doi.org/10.1016/j.isci.2020.101596</w:t>
      </w:r>
    </w:p>
    <w:p w14:paraId="50414872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161A6D">
        <w:rPr>
          <w:rFonts w:ascii="Times New Roman" w:hAnsi="Times New Roman" w:cs="Times New Roman"/>
          <w:sz w:val="24"/>
          <w:szCs w:val="24"/>
        </w:rPr>
        <w:t xml:space="preserve">Curd, B., Heridia, S., Ahiyya, A., &amp; Anantua, R. (2026). GRRMHD simulations of state transitions in non-jetted tidal disruption events. </w:t>
      </w:r>
      <w:r w:rsidRPr="00161A6D">
        <w:rPr>
          <w:rFonts w:ascii="Times New Roman" w:hAnsi="Times New Roman" w:cs="Times New Roman"/>
          <w:i/>
          <w:sz w:val="24"/>
          <w:szCs w:val="24"/>
        </w:rPr>
        <w:t>Monthly Notices of the Royal Astronomical Society, 550</w:t>
      </w:r>
      <w:r w:rsidRPr="00161A6D">
        <w:rPr>
          <w:rFonts w:ascii="Times New Roman" w:hAnsi="Times New Roman" w:cs="Times New Roman"/>
          <w:sz w:val="24"/>
          <w:szCs w:val="24"/>
        </w:rPr>
        <w:t>(1), stag1140. https://doi.org/10.1093/mnras/stag1140</w:t>
      </w:r>
    </w:p>
    <w:p w14:paraId="73852BC8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161A6D">
        <w:rPr>
          <w:rFonts w:ascii="Times New Roman" w:hAnsi="Times New Roman" w:cs="Times New Roman"/>
          <w:sz w:val="24"/>
          <w:szCs w:val="24"/>
        </w:rPr>
        <w:t xml:space="preserve">Fenner, K., Redgate, A., &amp; Brancaleon, L. (2022). A 200 nanoseconds all-atom simulation of the pH-dependent EF loop transition in bovine β-lactoglobulin: The role of the orientation of the E89 side chain. </w:t>
      </w:r>
      <w:r w:rsidRPr="00161A6D">
        <w:rPr>
          <w:rFonts w:ascii="Times New Roman" w:hAnsi="Times New Roman" w:cs="Times New Roman"/>
          <w:i/>
          <w:sz w:val="24"/>
          <w:szCs w:val="24"/>
        </w:rPr>
        <w:t>Journal of Biomolecular Structure and Dynamics, 40</w:t>
      </w:r>
      <w:r w:rsidRPr="00161A6D">
        <w:rPr>
          <w:rFonts w:ascii="Times New Roman" w:hAnsi="Times New Roman" w:cs="Times New Roman"/>
          <w:sz w:val="24"/>
          <w:szCs w:val="24"/>
        </w:rPr>
        <w:t>(1), 549–564. https://doi.org/10.1080/07391102.2020.1817785</w:t>
      </w:r>
    </w:p>
    <w:p w14:paraId="56ED86D9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161A6D">
        <w:rPr>
          <w:rFonts w:ascii="Times New Roman" w:hAnsi="Times New Roman" w:cs="Times New Roman"/>
          <w:sz w:val="24"/>
          <w:szCs w:val="24"/>
        </w:rPr>
        <w:t xml:space="preserve">Garcia, I., &amp; Morales Escalante, J. (2025). Physics informed neural networks for a Wigner-Fokker-Planck model of open quantum systems. In M. Paszynski, A. S. Barnard, &amp; Y. J. Zhang (Eds.), </w:t>
      </w:r>
      <w:r w:rsidRPr="00161A6D">
        <w:rPr>
          <w:rFonts w:ascii="Times New Roman" w:hAnsi="Times New Roman" w:cs="Times New Roman"/>
          <w:i/>
          <w:sz w:val="24"/>
          <w:szCs w:val="24"/>
        </w:rPr>
        <w:t>Computational science – ICCS 2025 workshops</w:t>
      </w:r>
      <w:r w:rsidRPr="00161A6D">
        <w:rPr>
          <w:rFonts w:ascii="Times New Roman" w:hAnsi="Times New Roman" w:cs="Times New Roman"/>
          <w:sz w:val="24"/>
          <w:szCs w:val="24"/>
        </w:rPr>
        <w:t xml:space="preserve"> (Lecture Notes in Computer Science, Vol. 15909). Springer. https://doi.org/10.1007/978-3-031-97564-6_22</w:t>
      </w:r>
    </w:p>
    <w:p w14:paraId="715B21F3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161A6D">
        <w:rPr>
          <w:rFonts w:ascii="Times New Roman" w:hAnsi="Times New Roman" w:cs="Times New Roman"/>
          <w:sz w:val="24"/>
          <w:szCs w:val="24"/>
        </w:rPr>
        <w:t xml:space="preserve">Jordan, Z., Singh, A., Kattapong-Graber, S., Goswami, S., Sanjana, N. E., Zuccaro, E., Zhang, F., Eggan, K., Hsieh, J., Hermann, B. P., Hebert, J., &amp; Maroof, A. M. (2025). The specification and </w:t>
      </w:r>
      <w:r w:rsidRPr="00161A6D">
        <w:rPr>
          <w:rFonts w:ascii="Times New Roman" w:hAnsi="Times New Roman" w:cs="Times New Roman"/>
          <w:sz w:val="24"/>
          <w:szCs w:val="24"/>
        </w:rPr>
        <w:lastRenderedPageBreak/>
        <w:t xml:space="preserve">functional maturation of sub-cerebral projection neurons derived from human induced pluripotent stem cells. </w:t>
      </w:r>
      <w:r w:rsidRPr="00161A6D">
        <w:rPr>
          <w:rFonts w:ascii="Times New Roman" w:hAnsi="Times New Roman" w:cs="Times New Roman"/>
          <w:i/>
          <w:sz w:val="24"/>
          <w:szCs w:val="24"/>
        </w:rPr>
        <w:t>Stem Cells and Development, 34</w:t>
      </w:r>
      <w:r w:rsidRPr="00161A6D">
        <w:rPr>
          <w:rFonts w:ascii="Times New Roman" w:hAnsi="Times New Roman" w:cs="Times New Roman"/>
          <w:sz w:val="24"/>
          <w:szCs w:val="24"/>
        </w:rPr>
        <w:t>(23–24), 514–528. https://doi.org/10.1177/15473287251399623</w:t>
      </w:r>
    </w:p>
    <w:p w14:paraId="50324F6D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Pr="00161A6D">
        <w:rPr>
          <w:rFonts w:ascii="Times New Roman" w:hAnsi="Times New Roman" w:cs="Times New Roman"/>
          <w:sz w:val="24"/>
          <w:szCs w:val="24"/>
        </w:rPr>
        <w:t xml:space="preserve">Kumaresan, V., Hung, C. Y., Hermann, B. P., &amp; Seshu, J. (2025). Role of dual specificity phosphatase 1 (DUSP1) in influencing inflammatory pathways in macrophages modulated by </w:t>
      </w:r>
      <w:r w:rsidRPr="00161A6D">
        <w:rPr>
          <w:rFonts w:ascii="Times New Roman" w:hAnsi="Times New Roman" w:cs="Times New Roman"/>
          <w:i/>
          <w:sz w:val="24"/>
          <w:szCs w:val="24"/>
        </w:rPr>
        <w:t>Borrelia burgdorferi</w:t>
      </w:r>
      <w:r w:rsidRPr="00161A6D">
        <w:rPr>
          <w:rFonts w:ascii="Times New Roman" w:hAnsi="Times New Roman" w:cs="Times New Roman"/>
          <w:sz w:val="24"/>
          <w:szCs w:val="24"/>
        </w:rPr>
        <w:t xml:space="preserve"> lipoproteins. </w:t>
      </w:r>
      <w:r w:rsidRPr="00161A6D">
        <w:rPr>
          <w:rFonts w:ascii="Times New Roman" w:hAnsi="Times New Roman" w:cs="Times New Roman"/>
          <w:i/>
          <w:sz w:val="24"/>
          <w:szCs w:val="24"/>
        </w:rPr>
        <w:t>bioRxiv</w:t>
      </w:r>
      <w:r w:rsidRPr="00161A6D">
        <w:rPr>
          <w:rFonts w:ascii="Times New Roman" w:hAnsi="Times New Roman" w:cs="Times New Roman"/>
          <w:sz w:val="24"/>
          <w:szCs w:val="24"/>
        </w:rPr>
        <w:t>. https://doi.org/10.1101/2024.11.20.624562</w:t>
      </w:r>
    </w:p>
    <w:p w14:paraId="351DF505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161A6D">
        <w:rPr>
          <w:rFonts w:ascii="Times New Roman" w:hAnsi="Times New Roman" w:cs="Times New Roman"/>
          <w:sz w:val="24"/>
          <w:szCs w:val="24"/>
        </w:rPr>
        <w:t xml:space="preserve">Kumaresan, V., Ingle, T. M., Kilgore, N., Zhang, G., Hermann, B. P., &amp; Seshu, J. (2023). Cellular and transcriptome signatures unveiled by single-cell RNA-Seq following ex vivo infection of murine splenocytes with </w:t>
      </w:r>
      <w:r w:rsidRPr="00161A6D">
        <w:rPr>
          <w:rFonts w:ascii="Times New Roman" w:hAnsi="Times New Roman" w:cs="Times New Roman"/>
          <w:i/>
          <w:sz w:val="24"/>
          <w:szCs w:val="24"/>
        </w:rPr>
        <w:t>Borrelia burgdorferi</w:t>
      </w:r>
      <w:r w:rsidRPr="00161A6D">
        <w:rPr>
          <w:rFonts w:ascii="Times New Roman" w:hAnsi="Times New Roman" w:cs="Times New Roman"/>
          <w:sz w:val="24"/>
          <w:szCs w:val="24"/>
        </w:rPr>
        <w:t xml:space="preserve">. </w:t>
      </w:r>
      <w:r w:rsidRPr="00161A6D">
        <w:rPr>
          <w:rFonts w:ascii="Times New Roman" w:hAnsi="Times New Roman" w:cs="Times New Roman"/>
          <w:i/>
          <w:sz w:val="24"/>
          <w:szCs w:val="24"/>
        </w:rPr>
        <w:t>Frontiers in Immunology, 14</w:t>
      </w:r>
      <w:r w:rsidRPr="00161A6D">
        <w:rPr>
          <w:rFonts w:ascii="Times New Roman" w:hAnsi="Times New Roman" w:cs="Times New Roman"/>
          <w:sz w:val="24"/>
          <w:szCs w:val="24"/>
        </w:rPr>
        <w:t>, 1296580. https://doi.org/10.3389/fimmu.2023.1296580</w:t>
      </w:r>
    </w:p>
    <w:p w14:paraId="594D9449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161A6D">
        <w:rPr>
          <w:rFonts w:ascii="Times New Roman" w:hAnsi="Times New Roman" w:cs="Times New Roman"/>
          <w:sz w:val="24"/>
          <w:szCs w:val="24"/>
        </w:rPr>
        <w:t xml:space="preserve">Kumaresan, V., Pahari, S., Hung, C.-Y., Hermann, B. P., Schlesinger, L. S., &amp; Seshu, J. (2026). Role of DUSP1 phosphatase on inflammatory pathways in macrophages modulated by purified </w:t>
      </w:r>
      <w:r w:rsidRPr="00161A6D">
        <w:rPr>
          <w:rFonts w:ascii="Times New Roman" w:hAnsi="Times New Roman" w:cs="Times New Roman"/>
          <w:i/>
          <w:sz w:val="24"/>
          <w:szCs w:val="24"/>
        </w:rPr>
        <w:t>Borrelia burgdorferi</w:t>
      </w:r>
      <w:r w:rsidRPr="00161A6D">
        <w:rPr>
          <w:rFonts w:ascii="Times New Roman" w:hAnsi="Times New Roman" w:cs="Times New Roman"/>
          <w:sz w:val="24"/>
          <w:szCs w:val="24"/>
        </w:rPr>
        <w:t xml:space="preserve"> lipoproteins. </w:t>
      </w:r>
      <w:r w:rsidRPr="00161A6D">
        <w:rPr>
          <w:rFonts w:ascii="Times New Roman" w:hAnsi="Times New Roman" w:cs="Times New Roman"/>
          <w:i/>
          <w:sz w:val="24"/>
          <w:szCs w:val="24"/>
        </w:rPr>
        <w:t>Frontiers in Immunology, 17</w:t>
      </w:r>
      <w:r w:rsidRPr="00161A6D">
        <w:rPr>
          <w:rFonts w:ascii="Times New Roman" w:hAnsi="Times New Roman" w:cs="Times New Roman"/>
          <w:sz w:val="24"/>
          <w:szCs w:val="24"/>
        </w:rPr>
        <w:t>, 1766756. https://doi.org/10.3389/fimmu.2026.1766756</w:t>
      </w:r>
    </w:p>
    <w:p w14:paraId="103E9BB3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Pr="00161A6D">
        <w:rPr>
          <w:rFonts w:ascii="Times New Roman" w:hAnsi="Times New Roman" w:cs="Times New Roman"/>
          <w:sz w:val="24"/>
          <w:szCs w:val="24"/>
        </w:rPr>
        <w:t xml:space="preserve">Lee, J., Toujani, C., Tang, Y., Lee, R., Cureño Hernandez, K. E., Guilliams, B. F., Pochan, D. J., Ramírez-Hernández, A., &amp; Herrera-Alonso, M. (2025). Nonequilibrium solution-based assemblies from bottlebrush block copolymers for drug delivery. </w:t>
      </w:r>
      <w:r w:rsidRPr="00161A6D">
        <w:rPr>
          <w:rFonts w:ascii="Times New Roman" w:hAnsi="Times New Roman" w:cs="Times New Roman"/>
          <w:i/>
          <w:sz w:val="24"/>
          <w:szCs w:val="24"/>
        </w:rPr>
        <w:t>ACS Nano, 19</w:t>
      </w:r>
      <w:r w:rsidRPr="00161A6D">
        <w:rPr>
          <w:rFonts w:ascii="Times New Roman" w:hAnsi="Times New Roman" w:cs="Times New Roman"/>
          <w:sz w:val="24"/>
          <w:szCs w:val="24"/>
        </w:rPr>
        <w:t>(19), 18556–18569. https://doi.org/10.1021/acsnano.5c02267</w:t>
      </w:r>
    </w:p>
    <w:p w14:paraId="4CE7DA13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16. </w:t>
      </w:r>
      <w:r w:rsidRPr="00161A6D">
        <w:rPr>
          <w:rFonts w:ascii="Times New Roman" w:hAnsi="Times New Roman" w:cs="Times New Roman"/>
          <w:sz w:val="24"/>
          <w:szCs w:val="24"/>
        </w:rPr>
        <w:t xml:space="preserve">Mannai, M., Shiga, M., Ureña-Benavides, E. E., &amp; Ramírez-Hernández, A. (2026). Linear and cyclic alkanes at aqueous interfaces: Effect of molecular topology. </w:t>
      </w:r>
      <w:r w:rsidRPr="00161A6D">
        <w:rPr>
          <w:rFonts w:ascii="Times New Roman" w:hAnsi="Times New Roman" w:cs="Times New Roman"/>
          <w:i/>
          <w:sz w:val="24"/>
          <w:szCs w:val="24"/>
        </w:rPr>
        <w:t>The Journal of Physical Chemistry B</w:t>
      </w:r>
      <w:r w:rsidRPr="00161A6D">
        <w:rPr>
          <w:rFonts w:ascii="Times New Roman" w:hAnsi="Times New Roman" w:cs="Times New Roman"/>
          <w:sz w:val="24"/>
          <w:szCs w:val="24"/>
        </w:rPr>
        <w:t>. https://doi.org/10.1021/acs.jpcb.6c03170</w:t>
      </w:r>
    </w:p>
    <w:p w14:paraId="75A5DFA5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Pr="00161A6D">
        <w:rPr>
          <w:rFonts w:ascii="Times New Roman" w:hAnsi="Times New Roman" w:cs="Times New Roman"/>
          <w:sz w:val="24"/>
          <w:szCs w:val="24"/>
        </w:rPr>
        <w:t xml:space="preserve">Mondal, S., Montaño-Priede, J. L., Nguyen, V. T., Park, S., Choi, J., Doan, V. H. M., Vo, T. M. T., Vo, T. H., Large, N., Kim, C.-S., &amp; Oh, J. (2022). Computational analysis of drug-free silver triangular nanoprism theranostic probe plasmonic behavior for in-situ tumor imaging and photothermal therapy. </w:t>
      </w:r>
      <w:r w:rsidRPr="00161A6D">
        <w:rPr>
          <w:rFonts w:ascii="Times New Roman" w:hAnsi="Times New Roman" w:cs="Times New Roman"/>
          <w:i/>
          <w:sz w:val="24"/>
          <w:szCs w:val="24"/>
        </w:rPr>
        <w:t>Journal of Advanced Research, 41</w:t>
      </w:r>
      <w:r w:rsidRPr="00161A6D">
        <w:rPr>
          <w:rFonts w:ascii="Times New Roman" w:hAnsi="Times New Roman" w:cs="Times New Roman"/>
          <w:sz w:val="24"/>
          <w:szCs w:val="24"/>
        </w:rPr>
        <w:t>, 23–38. https://doi.org/10.1016/j.jare.2022.02.006</w:t>
      </w:r>
    </w:p>
    <w:p w14:paraId="7781A77D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18. </w:t>
      </w:r>
      <w:r w:rsidRPr="00161A6D">
        <w:rPr>
          <w:rFonts w:ascii="Times New Roman" w:hAnsi="Times New Roman" w:cs="Times New Roman"/>
          <w:sz w:val="24"/>
          <w:szCs w:val="24"/>
        </w:rPr>
        <w:t xml:space="preserve">Montaño-Priede, J. L., &amp; Large, N. (2022). Photonic band structure calculation of 3D-finite nanostructured supercrystals. </w:t>
      </w:r>
      <w:r w:rsidRPr="00161A6D">
        <w:rPr>
          <w:rFonts w:ascii="Times New Roman" w:hAnsi="Times New Roman" w:cs="Times New Roman"/>
          <w:i/>
          <w:sz w:val="24"/>
          <w:szCs w:val="24"/>
        </w:rPr>
        <w:t>Nanoscale Advances, 4</w:t>
      </w:r>
      <w:r w:rsidRPr="00161A6D">
        <w:rPr>
          <w:rFonts w:ascii="Times New Roman" w:hAnsi="Times New Roman" w:cs="Times New Roman"/>
          <w:sz w:val="24"/>
          <w:szCs w:val="24"/>
        </w:rPr>
        <w:t>(21), 4589–4596. https://doi.org/10.1039/D2NA00538G</w:t>
      </w:r>
    </w:p>
    <w:p w14:paraId="44034BA3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19. </w:t>
      </w:r>
      <w:r w:rsidRPr="00161A6D">
        <w:rPr>
          <w:rFonts w:ascii="Times New Roman" w:hAnsi="Times New Roman" w:cs="Times New Roman"/>
          <w:sz w:val="24"/>
          <w:szCs w:val="24"/>
        </w:rPr>
        <w:t xml:space="preserve">Montaño-Priede, J. L., Mlayah, A., &amp; Large, N. (2022). Raman energy density in the context of acoustoplasmonics. </w:t>
      </w:r>
      <w:r w:rsidRPr="00161A6D">
        <w:rPr>
          <w:rFonts w:ascii="Times New Roman" w:hAnsi="Times New Roman" w:cs="Times New Roman"/>
          <w:i/>
          <w:sz w:val="24"/>
          <w:szCs w:val="24"/>
        </w:rPr>
        <w:t>Physical Review B, 106</w:t>
      </w:r>
      <w:r w:rsidRPr="00161A6D">
        <w:rPr>
          <w:rFonts w:ascii="Times New Roman" w:hAnsi="Times New Roman" w:cs="Times New Roman"/>
          <w:sz w:val="24"/>
          <w:szCs w:val="24"/>
        </w:rPr>
        <w:t>(16), 165425. https://doi.org/10.1103/PhysRevB.106.165425</w:t>
      </w:r>
    </w:p>
    <w:p w14:paraId="4D799557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20. </w:t>
      </w:r>
      <w:r w:rsidRPr="00161A6D">
        <w:rPr>
          <w:rFonts w:ascii="Times New Roman" w:hAnsi="Times New Roman" w:cs="Times New Roman"/>
          <w:sz w:val="24"/>
          <w:szCs w:val="24"/>
        </w:rPr>
        <w:t xml:space="preserve">Nguyen, Q. N., &amp; De Oliveira, V. (2026a). Approximating Gaussian copula models for count time series: Connecting the distributional transform and a continuous extension. </w:t>
      </w:r>
      <w:r w:rsidRPr="00161A6D">
        <w:rPr>
          <w:rFonts w:ascii="Times New Roman" w:hAnsi="Times New Roman" w:cs="Times New Roman"/>
          <w:i/>
          <w:sz w:val="24"/>
          <w:szCs w:val="24"/>
        </w:rPr>
        <w:t>Journal of Applied Statistics</w:t>
      </w:r>
      <w:r w:rsidRPr="00161A6D">
        <w:rPr>
          <w:rFonts w:ascii="Times New Roman" w:hAnsi="Times New Roman" w:cs="Times New Roman"/>
          <w:sz w:val="24"/>
          <w:szCs w:val="24"/>
        </w:rPr>
        <w:t>, 1–22. https://doi.org/10.1080/02664763.2025.2498502</w:t>
      </w:r>
    </w:p>
    <w:p w14:paraId="4C62FE60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21. </w:t>
      </w:r>
      <w:r w:rsidRPr="00161A6D">
        <w:rPr>
          <w:rFonts w:ascii="Times New Roman" w:hAnsi="Times New Roman" w:cs="Times New Roman"/>
          <w:sz w:val="24"/>
          <w:szCs w:val="24"/>
        </w:rPr>
        <w:t xml:space="preserve">Nguyen, Q. N., &amp; De Oliveira, V. (2026b). Likelihood inference in Gaussian copula models for count time series via minimax exponential tilting. </w:t>
      </w:r>
      <w:r w:rsidRPr="00161A6D">
        <w:rPr>
          <w:rFonts w:ascii="Times New Roman" w:hAnsi="Times New Roman" w:cs="Times New Roman"/>
          <w:i/>
          <w:sz w:val="24"/>
          <w:szCs w:val="24"/>
        </w:rPr>
        <w:t>Computational Statistics &amp; Data Analysis</w:t>
      </w:r>
      <w:r w:rsidRPr="00161A6D">
        <w:rPr>
          <w:rFonts w:ascii="Times New Roman" w:hAnsi="Times New Roman" w:cs="Times New Roman"/>
          <w:sz w:val="24"/>
          <w:szCs w:val="24"/>
        </w:rPr>
        <w:t>, 108344.</w:t>
      </w:r>
    </w:p>
    <w:p w14:paraId="0CC58591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22. </w:t>
      </w:r>
      <w:r w:rsidRPr="00161A6D">
        <w:rPr>
          <w:rFonts w:ascii="Times New Roman" w:hAnsi="Times New Roman" w:cs="Times New Roman"/>
          <w:sz w:val="24"/>
          <w:szCs w:val="24"/>
        </w:rPr>
        <w:t xml:space="preserve">Nguyen, Q. N., &amp; De Oliveira, V. (2026c). Scalable likelihood inference for Student-t copula count time series. </w:t>
      </w:r>
      <w:r w:rsidRPr="00161A6D">
        <w:rPr>
          <w:rFonts w:ascii="Times New Roman" w:hAnsi="Times New Roman" w:cs="Times New Roman"/>
          <w:i/>
          <w:sz w:val="24"/>
          <w:szCs w:val="24"/>
        </w:rPr>
        <w:t>Stats, 9</w:t>
      </w:r>
      <w:r w:rsidRPr="00161A6D">
        <w:rPr>
          <w:rFonts w:ascii="Times New Roman" w:hAnsi="Times New Roman" w:cs="Times New Roman"/>
          <w:sz w:val="24"/>
          <w:szCs w:val="24"/>
        </w:rPr>
        <w:t>, 43. https://doi.org/10.3390/stats9020043</w:t>
      </w:r>
    </w:p>
    <w:p w14:paraId="10A1B33E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23. </w:t>
      </w:r>
      <w:r w:rsidRPr="00161A6D">
        <w:rPr>
          <w:rFonts w:ascii="Times New Roman" w:hAnsi="Times New Roman" w:cs="Times New Roman"/>
          <w:sz w:val="24"/>
          <w:szCs w:val="24"/>
        </w:rPr>
        <w:t xml:space="preserve">Olivares, E., &amp; Santamaria, F. (2026). Fractional-order spiking neural networks for robust control. </w:t>
      </w:r>
      <w:r w:rsidRPr="00161A6D">
        <w:rPr>
          <w:rFonts w:ascii="Times New Roman" w:hAnsi="Times New Roman" w:cs="Times New Roman"/>
          <w:i/>
          <w:sz w:val="24"/>
          <w:szCs w:val="24"/>
        </w:rPr>
        <w:t>Neurocomputing, 704</w:t>
      </w:r>
      <w:r w:rsidRPr="00161A6D">
        <w:rPr>
          <w:rFonts w:ascii="Times New Roman" w:hAnsi="Times New Roman" w:cs="Times New Roman"/>
          <w:sz w:val="24"/>
          <w:szCs w:val="24"/>
        </w:rPr>
        <w:t>, 134878. https://doi.org/10.1016/j.neucom.2026.134878</w:t>
      </w:r>
    </w:p>
    <w:p w14:paraId="26660168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24. </w:t>
      </w:r>
      <w:r w:rsidRPr="00161A6D">
        <w:rPr>
          <w:rFonts w:ascii="Times New Roman" w:hAnsi="Times New Roman" w:cs="Times New Roman"/>
          <w:sz w:val="24"/>
          <w:szCs w:val="24"/>
        </w:rPr>
        <w:t xml:space="preserve">Olivares, E., &amp; Wilson, C. J. (2025). Neuronal and network resonance in the external globus pallidus. </w:t>
      </w:r>
      <w:r w:rsidRPr="00161A6D">
        <w:rPr>
          <w:rFonts w:ascii="Times New Roman" w:hAnsi="Times New Roman" w:cs="Times New Roman"/>
          <w:i/>
          <w:sz w:val="24"/>
          <w:szCs w:val="24"/>
        </w:rPr>
        <w:t>Journal of Neurophysiology, 134</w:t>
      </w:r>
      <w:r w:rsidRPr="00161A6D">
        <w:rPr>
          <w:rFonts w:ascii="Times New Roman" w:hAnsi="Times New Roman" w:cs="Times New Roman"/>
          <w:sz w:val="24"/>
          <w:szCs w:val="24"/>
        </w:rPr>
        <w:t>(2), 794–813. https://doi.org/10.1152/jn.00270.2025</w:t>
      </w:r>
    </w:p>
    <w:p w14:paraId="3250A8E1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25. </w:t>
      </w:r>
      <w:r w:rsidRPr="00161A6D">
        <w:rPr>
          <w:rFonts w:ascii="Times New Roman" w:hAnsi="Times New Roman" w:cs="Times New Roman"/>
          <w:sz w:val="24"/>
          <w:szCs w:val="24"/>
        </w:rPr>
        <w:t xml:space="preserve">Olivares, E., Higgs, M. H., &amp; Wilson, C. J. (2022). Local inhibition in a model of the indirect pathway globus pallidus network slows and deregularizes background firing, but sharpens and synchronizes responses to striatal input. </w:t>
      </w:r>
      <w:r w:rsidRPr="00161A6D">
        <w:rPr>
          <w:rFonts w:ascii="Times New Roman" w:hAnsi="Times New Roman" w:cs="Times New Roman"/>
          <w:i/>
          <w:sz w:val="24"/>
          <w:szCs w:val="24"/>
        </w:rPr>
        <w:t>Journal of Computational Neuroscience, 50</w:t>
      </w:r>
      <w:r w:rsidRPr="00161A6D">
        <w:rPr>
          <w:rFonts w:ascii="Times New Roman" w:hAnsi="Times New Roman" w:cs="Times New Roman"/>
          <w:sz w:val="24"/>
          <w:szCs w:val="24"/>
        </w:rPr>
        <w:t>(2), 251–272. https://doi.org/10.1007/s10827-022-00814-y</w:t>
      </w:r>
    </w:p>
    <w:p w14:paraId="5B6B9F1F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26. </w:t>
      </w:r>
      <w:r w:rsidRPr="00161A6D">
        <w:rPr>
          <w:rFonts w:ascii="Times New Roman" w:hAnsi="Times New Roman" w:cs="Times New Roman"/>
          <w:sz w:val="24"/>
          <w:szCs w:val="24"/>
        </w:rPr>
        <w:t xml:space="preserve">Olivares, E., Wilson, C. J., &amp; Goldberg, J. A. (2024). Phase delays between mouse globus pallidus neurons entrained by common oscillatory drive arise from their intrinsic properties, not their coupling. </w:t>
      </w:r>
      <w:r w:rsidRPr="00161A6D">
        <w:rPr>
          <w:rFonts w:ascii="Times New Roman" w:hAnsi="Times New Roman" w:cs="Times New Roman"/>
          <w:i/>
          <w:sz w:val="24"/>
          <w:szCs w:val="24"/>
        </w:rPr>
        <w:t>eNeuro, 11</w:t>
      </w:r>
      <w:r w:rsidRPr="00161A6D">
        <w:rPr>
          <w:rFonts w:ascii="Times New Roman" w:hAnsi="Times New Roman" w:cs="Times New Roman"/>
          <w:sz w:val="24"/>
          <w:szCs w:val="24"/>
        </w:rPr>
        <w:t>(5). https://doi.org/10.1523/ENEURO.0187-24.2024</w:t>
      </w:r>
    </w:p>
    <w:p w14:paraId="4AC44ADE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27. </w:t>
      </w:r>
      <w:r w:rsidRPr="00161A6D">
        <w:rPr>
          <w:rFonts w:ascii="Times New Roman" w:hAnsi="Times New Roman" w:cs="Times New Roman"/>
          <w:sz w:val="24"/>
          <w:szCs w:val="24"/>
        </w:rPr>
        <w:t xml:space="preserve">Padilla, L. A., León-Islas, A. A., Funkhouser, J., Armas-Pérez, J. C., &amp; Ramírez-Hernández, A. (2021). Dynamics and phase behavior of two-dimensional size-asymmetric binary mixtures of core-softened colloids. </w:t>
      </w:r>
      <w:r w:rsidRPr="00161A6D">
        <w:rPr>
          <w:rFonts w:ascii="Times New Roman" w:hAnsi="Times New Roman" w:cs="Times New Roman"/>
          <w:i/>
          <w:sz w:val="24"/>
          <w:szCs w:val="24"/>
        </w:rPr>
        <w:t>The Journal of Chemical Physics, 155</w:t>
      </w:r>
      <w:r w:rsidRPr="00161A6D">
        <w:rPr>
          <w:rFonts w:ascii="Times New Roman" w:hAnsi="Times New Roman" w:cs="Times New Roman"/>
          <w:sz w:val="24"/>
          <w:szCs w:val="24"/>
        </w:rPr>
        <w:t>(21), 214901. https://doi.org/10.1063/5.0067449</w:t>
      </w:r>
    </w:p>
    <w:p w14:paraId="677901FC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28. </w:t>
      </w:r>
      <w:r w:rsidRPr="00161A6D">
        <w:rPr>
          <w:rFonts w:ascii="Times New Roman" w:hAnsi="Times New Roman" w:cs="Times New Roman"/>
          <w:sz w:val="24"/>
          <w:szCs w:val="24"/>
        </w:rPr>
        <w:t xml:space="preserve">Panda, S., &amp; Wang, M. (2025). Bootstrap-based control chart for percentiles of the generalized lognormal distribution with reliability applications. </w:t>
      </w:r>
      <w:r w:rsidRPr="00161A6D">
        <w:rPr>
          <w:rFonts w:ascii="Times New Roman" w:hAnsi="Times New Roman" w:cs="Times New Roman"/>
          <w:i/>
          <w:sz w:val="24"/>
          <w:szCs w:val="24"/>
        </w:rPr>
        <w:t>Quality and Reliability Engineering International</w:t>
      </w:r>
      <w:r w:rsidRPr="00161A6D">
        <w:rPr>
          <w:rFonts w:ascii="Times New Roman" w:hAnsi="Times New Roman" w:cs="Times New Roman"/>
          <w:sz w:val="24"/>
          <w:szCs w:val="24"/>
        </w:rPr>
        <w:t>. https://doi.org/10.1002/qre.3722</w:t>
      </w:r>
    </w:p>
    <w:p w14:paraId="284E0A7F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29. </w:t>
      </w:r>
      <w:r w:rsidRPr="00161A6D">
        <w:rPr>
          <w:rFonts w:ascii="Times New Roman" w:hAnsi="Times New Roman" w:cs="Times New Roman"/>
          <w:sz w:val="24"/>
          <w:szCs w:val="24"/>
        </w:rPr>
        <w:t xml:space="preserve">Park, Y., Li, B., &amp; Li, Y. (2023). Crop yield prediction using Bayesian spatially varying coefficient models with functional predictors. </w:t>
      </w:r>
      <w:r w:rsidRPr="00161A6D">
        <w:rPr>
          <w:rFonts w:ascii="Times New Roman" w:hAnsi="Times New Roman" w:cs="Times New Roman"/>
          <w:i/>
          <w:sz w:val="24"/>
          <w:szCs w:val="24"/>
        </w:rPr>
        <w:t>Journal of the American Statistical Association, 118</w:t>
      </w:r>
      <w:r w:rsidRPr="00161A6D">
        <w:rPr>
          <w:rFonts w:ascii="Times New Roman" w:hAnsi="Times New Roman" w:cs="Times New Roman"/>
          <w:sz w:val="24"/>
          <w:szCs w:val="24"/>
        </w:rPr>
        <w:t>(541), 70–83. https://doi.org/10.1080/01621459.2022.2123333</w:t>
      </w:r>
    </w:p>
    <w:p w14:paraId="54F57DD5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30. </w:t>
      </w:r>
      <w:r w:rsidRPr="00161A6D">
        <w:rPr>
          <w:rFonts w:ascii="Times New Roman" w:hAnsi="Times New Roman" w:cs="Times New Roman"/>
          <w:sz w:val="24"/>
          <w:szCs w:val="24"/>
        </w:rPr>
        <w:t xml:space="preserve">Ramzanpour, M., Jafari, B., Smith, J., Allen, J., &amp; Hajiaghamemar, M. (2023). Comprehensive study of sex-based anatomical variations of human brain and development of sex-specific brain templates. </w:t>
      </w:r>
      <w:r w:rsidRPr="00161A6D">
        <w:rPr>
          <w:rFonts w:ascii="Times New Roman" w:hAnsi="Times New Roman" w:cs="Times New Roman"/>
          <w:i/>
          <w:sz w:val="24"/>
          <w:szCs w:val="24"/>
        </w:rPr>
        <w:t>Brain Multiphysics, 4</w:t>
      </w:r>
      <w:r w:rsidRPr="00161A6D">
        <w:rPr>
          <w:rFonts w:ascii="Times New Roman" w:hAnsi="Times New Roman" w:cs="Times New Roman"/>
          <w:sz w:val="24"/>
          <w:szCs w:val="24"/>
        </w:rPr>
        <w:t>, 100077. https://doi.org/10.1016/j.brain.2023.100077</w:t>
      </w:r>
    </w:p>
    <w:p w14:paraId="68E92A18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31. </w:t>
      </w:r>
      <w:r w:rsidRPr="00161A6D">
        <w:rPr>
          <w:rFonts w:ascii="Times New Roman" w:hAnsi="Times New Roman" w:cs="Times New Roman"/>
          <w:sz w:val="24"/>
          <w:szCs w:val="24"/>
        </w:rPr>
        <w:t xml:space="preserve">Renthal, R. (2024). Arthropod repellent interactions with olfactory receptors and ionotropic receptors analyzed by molecular modeling. </w:t>
      </w:r>
      <w:r w:rsidRPr="00161A6D">
        <w:rPr>
          <w:rFonts w:ascii="Times New Roman" w:hAnsi="Times New Roman" w:cs="Times New Roman"/>
          <w:i/>
          <w:sz w:val="24"/>
          <w:szCs w:val="24"/>
        </w:rPr>
        <w:t>Current Research in Insect Science, 5</w:t>
      </w:r>
      <w:r w:rsidRPr="00161A6D">
        <w:rPr>
          <w:rFonts w:ascii="Times New Roman" w:hAnsi="Times New Roman" w:cs="Times New Roman"/>
          <w:sz w:val="24"/>
          <w:szCs w:val="24"/>
        </w:rPr>
        <w:t>, 100082. https://doi.org/10.1016/j.cris.2024.100082</w:t>
      </w:r>
    </w:p>
    <w:p w14:paraId="5400D321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32. </w:t>
      </w:r>
      <w:r w:rsidRPr="00161A6D">
        <w:rPr>
          <w:rFonts w:ascii="Times New Roman" w:hAnsi="Times New Roman" w:cs="Times New Roman"/>
          <w:sz w:val="24"/>
          <w:szCs w:val="24"/>
        </w:rPr>
        <w:t xml:space="preserve">Rigor, J., Kurouski, D., &amp; Large, N. (2022). Plasmonic heating effects in tip-enhanced Raman spectroscopy (TERS). </w:t>
      </w:r>
      <w:r w:rsidRPr="00161A6D">
        <w:rPr>
          <w:rFonts w:ascii="Times New Roman" w:hAnsi="Times New Roman" w:cs="Times New Roman"/>
          <w:i/>
          <w:sz w:val="24"/>
          <w:szCs w:val="24"/>
        </w:rPr>
        <w:t>The Journal of Physical Chemistry C, 126</w:t>
      </w:r>
      <w:r w:rsidRPr="00161A6D">
        <w:rPr>
          <w:rFonts w:ascii="Times New Roman" w:hAnsi="Times New Roman" w:cs="Times New Roman"/>
          <w:sz w:val="24"/>
          <w:szCs w:val="24"/>
        </w:rPr>
        <w:t>(32), 13986–13993. https://doi.org/10.1021/acs.jpcc.2c03881</w:t>
      </w:r>
    </w:p>
    <w:p w14:paraId="3EB06EDB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33. </w:t>
      </w:r>
      <w:r w:rsidRPr="00161A6D">
        <w:rPr>
          <w:rFonts w:ascii="Times New Roman" w:hAnsi="Times New Roman" w:cs="Times New Roman"/>
          <w:sz w:val="24"/>
          <w:szCs w:val="24"/>
        </w:rPr>
        <w:t xml:space="preserve">Rivera, I., Koenig, S. S. K., Rodriguez, A. L., Bosilevac, J. M., &amp; Eppinger, M. (2026). Phylogenomic framework and virulence gene boundaries of emerging Shiga toxin-producing </w:t>
      </w:r>
      <w:r w:rsidRPr="00161A6D">
        <w:rPr>
          <w:rFonts w:ascii="Times New Roman" w:hAnsi="Times New Roman" w:cs="Times New Roman"/>
          <w:i/>
          <w:sz w:val="24"/>
          <w:szCs w:val="24"/>
        </w:rPr>
        <w:t>Escherichia coli</w:t>
      </w:r>
      <w:r w:rsidRPr="00161A6D">
        <w:rPr>
          <w:rFonts w:ascii="Times New Roman" w:hAnsi="Times New Roman" w:cs="Times New Roman"/>
          <w:sz w:val="24"/>
          <w:szCs w:val="24"/>
        </w:rPr>
        <w:t xml:space="preserve"> O118 informed by the comprehensive profiling of 359 O118 genomes. </w:t>
      </w:r>
      <w:r w:rsidRPr="00161A6D">
        <w:rPr>
          <w:rFonts w:ascii="Times New Roman" w:hAnsi="Times New Roman" w:cs="Times New Roman"/>
          <w:i/>
          <w:sz w:val="24"/>
          <w:szCs w:val="24"/>
        </w:rPr>
        <w:t>Virulence, 17</w:t>
      </w:r>
      <w:r w:rsidRPr="00161A6D">
        <w:rPr>
          <w:rFonts w:ascii="Times New Roman" w:hAnsi="Times New Roman" w:cs="Times New Roman"/>
          <w:sz w:val="24"/>
          <w:szCs w:val="24"/>
        </w:rPr>
        <w:t>(1). https://doi.org/10.1080/21505594.2026.2672206</w:t>
      </w:r>
    </w:p>
    <w:p w14:paraId="1199A78B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34. </w:t>
      </w:r>
      <w:r w:rsidRPr="00161A6D">
        <w:rPr>
          <w:rFonts w:ascii="Times New Roman" w:hAnsi="Times New Roman" w:cs="Times New Roman"/>
          <w:sz w:val="24"/>
          <w:szCs w:val="24"/>
        </w:rPr>
        <w:t xml:space="preserve">Roby, M., Sakib, A. N. M., Zhang, Z., Muluk, S. C., Eskandari, M. K., &amp; Finol, E. A. (2025). Automatic explainable segmentation of abdominal aortic aneurysm from computed tomography angiography. </w:t>
      </w:r>
      <w:r w:rsidRPr="00161A6D">
        <w:rPr>
          <w:rFonts w:ascii="Times New Roman" w:hAnsi="Times New Roman" w:cs="Times New Roman"/>
          <w:i/>
          <w:sz w:val="24"/>
          <w:szCs w:val="24"/>
        </w:rPr>
        <w:t>IEEE Access, 13</w:t>
      </w:r>
      <w:r w:rsidRPr="00161A6D">
        <w:rPr>
          <w:rFonts w:ascii="Times New Roman" w:hAnsi="Times New Roman" w:cs="Times New Roman"/>
          <w:sz w:val="24"/>
          <w:szCs w:val="24"/>
        </w:rPr>
        <w:t>, 178021–178033. https://doi.org/10.1109/ACCESS.2025.3620721</w:t>
      </w:r>
    </w:p>
    <w:p w14:paraId="4EBD4D1F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35. </w:t>
      </w:r>
      <w:r w:rsidRPr="00161A6D">
        <w:rPr>
          <w:rFonts w:ascii="Times New Roman" w:hAnsi="Times New Roman" w:cs="Times New Roman"/>
          <w:sz w:val="24"/>
          <w:szCs w:val="24"/>
        </w:rPr>
        <w:t>Sadeghi, N., Mustoe, A., Ross, C. N., McCarrey, J. R., &amp; Hermann, B. P. (2024). Benchmarks defining high-quality sperm in the common marmoset (</w:t>
      </w:r>
      <w:r w:rsidRPr="00161A6D">
        <w:rPr>
          <w:rFonts w:ascii="Times New Roman" w:hAnsi="Times New Roman" w:cs="Times New Roman"/>
          <w:i/>
          <w:sz w:val="24"/>
          <w:szCs w:val="24"/>
        </w:rPr>
        <w:t>Callithrix jacchus</w:t>
      </w:r>
      <w:r w:rsidRPr="00161A6D">
        <w:rPr>
          <w:rFonts w:ascii="Times New Roman" w:hAnsi="Times New Roman" w:cs="Times New Roman"/>
          <w:sz w:val="24"/>
          <w:szCs w:val="24"/>
        </w:rPr>
        <w:t xml:space="preserve">). </w:t>
      </w:r>
      <w:r w:rsidRPr="00161A6D">
        <w:rPr>
          <w:rFonts w:ascii="Times New Roman" w:hAnsi="Times New Roman" w:cs="Times New Roman"/>
          <w:i/>
          <w:sz w:val="24"/>
          <w:szCs w:val="24"/>
        </w:rPr>
        <w:t>Andrology</w:t>
      </w:r>
      <w:r w:rsidRPr="00161A6D">
        <w:rPr>
          <w:rFonts w:ascii="Times New Roman" w:hAnsi="Times New Roman" w:cs="Times New Roman"/>
          <w:sz w:val="24"/>
          <w:szCs w:val="24"/>
        </w:rPr>
        <w:t>. https://doi.org/10.1111/andr.13782</w:t>
      </w:r>
    </w:p>
    <w:p w14:paraId="4F447EFE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36. </w:t>
      </w:r>
      <w:r w:rsidRPr="00161A6D">
        <w:rPr>
          <w:rFonts w:ascii="Times New Roman" w:hAnsi="Times New Roman" w:cs="Times New Roman"/>
          <w:sz w:val="24"/>
          <w:szCs w:val="24"/>
        </w:rPr>
        <w:t>Sadeghi, N., Mustoe, A., Ross, C. N., McCarrey, J. R., &amp; Hermann, B. P. (2026). Recovery of high-quality sperm after cryopreservation in the common marmoset (</w:t>
      </w:r>
      <w:r w:rsidRPr="00161A6D">
        <w:rPr>
          <w:rFonts w:ascii="Times New Roman" w:hAnsi="Times New Roman" w:cs="Times New Roman"/>
          <w:i/>
          <w:sz w:val="24"/>
          <w:szCs w:val="24"/>
        </w:rPr>
        <w:t>Callithrix jacchus</w:t>
      </w:r>
      <w:r w:rsidRPr="00161A6D">
        <w:rPr>
          <w:rFonts w:ascii="Times New Roman" w:hAnsi="Times New Roman" w:cs="Times New Roman"/>
          <w:sz w:val="24"/>
          <w:szCs w:val="24"/>
        </w:rPr>
        <w:t xml:space="preserve">). </w:t>
      </w:r>
      <w:r w:rsidRPr="00161A6D">
        <w:rPr>
          <w:rFonts w:ascii="Times New Roman" w:hAnsi="Times New Roman" w:cs="Times New Roman"/>
          <w:i/>
          <w:sz w:val="24"/>
          <w:szCs w:val="24"/>
        </w:rPr>
        <w:t>Biology of Reproduction</w:t>
      </w:r>
      <w:r w:rsidRPr="00161A6D">
        <w:rPr>
          <w:rFonts w:ascii="Times New Roman" w:hAnsi="Times New Roman" w:cs="Times New Roman"/>
          <w:sz w:val="24"/>
          <w:szCs w:val="24"/>
        </w:rPr>
        <w:t>. https://doi.org/10.1093/biolre/ioag029</w:t>
      </w:r>
    </w:p>
    <w:p w14:paraId="11C8C339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37.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Sadeghi, N., Uboh, N., Ross, C. N., McCarrey, J. R., &amp; Hermann, B. P. (2025). Best practices for cryopreserving sperm in nonhuman primates: A systematic review and meta-analysis. </w:t>
      </w:r>
      <w:r w:rsidRPr="00161A6D">
        <w:rPr>
          <w:rFonts w:ascii="Times New Roman" w:hAnsi="Times New Roman" w:cs="Times New Roman"/>
          <w:i/>
          <w:sz w:val="24"/>
          <w:szCs w:val="24"/>
        </w:rPr>
        <w:t>Scientific Reports, 15</w:t>
      </w:r>
      <w:r w:rsidRPr="00161A6D">
        <w:rPr>
          <w:rFonts w:ascii="Times New Roman" w:hAnsi="Times New Roman" w:cs="Times New Roman"/>
          <w:sz w:val="24"/>
          <w:szCs w:val="24"/>
        </w:rPr>
        <w:t>(1), 3947. https://doi.org/10.1038/s41598-025-88226-7</w:t>
      </w:r>
    </w:p>
    <w:p w14:paraId="5DF6193A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38.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Sakib, A. N. M., Aranya, O. R. R., Desai, K., &amp; Zhang, Z. (2026). Toward faithful segmentation attribution via benchmarking and dual-evidence fusion. In </w:t>
      </w:r>
      <w:r w:rsidRPr="00161A6D">
        <w:rPr>
          <w:rFonts w:ascii="Times New Roman" w:hAnsi="Times New Roman" w:cs="Times New Roman"/>
          <w:i/>
          <w:sz w:val="24"/>
          <w:szCs w:val="24"/>
        </w:rPr>
        <w:t>Proceedings of the IEEE/CVF Conference on Computer Vision and Pattern Recognition Workshops</w:t>
      </w:r>
      <w:r w:rsidRPr="00161A6D">
        <w:rPr>
          <w:rFonts w:ascii="Times New Roman" w:hAnsi="Times New Roman" w:cs="Times New Roman"/>
          <w:sz w:val="24"/>
          <w:szCs w:val="24"/>
        </w:rPr>
        <w:t xml:space="preserve"> (pp. 4171–4177).</w:t>
      </w:r>
    </w:p>
    <w:p w14:paraId="4532B6C3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39.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Sakib, A. N. M., Chisty, M. M. O., &amp; Zhang, Z. (2026). Beyond semantic similarity: A component-wise evaluation framework for medical question answering systems with health equity implications. In </w:t>
      </w:r>
      <w:r w:rsidRPr="00161A6D">
        <w:rPr>
          <w:rFonts w:ascii="Times New Roman" w:hAnsi="Times New Roman" w:cs="Times New Roman"/>
          <w:i/>
          <w:sz w:val="24"/>
          <w:szCs w:val="24"/>
        </w:rPr>
        <w:t>Proceedings of the 2026 ACM Conference on Fairness, Accountability, and Transparency (FAccT ’26)</w:t>
      </w:r>
      <w:r w:rsidRPr="00161A6D">
        <w:rPr>
          <w:rFonts w:ascii="Times New Roman" w:hAnsi="Times New Roman" w:cs="Times New Roman"/>
          <w:sz w:val="24"/>
          <w:szCs w:val="24"/>
        </w:rPr>
        <w:t xml:space="preserve"> (pp. 4439–4469). Association for Computing Machinery. https://doi.org/10.1145/3805689.3812342</w:t>
      </w:r>
    </w:p>
    <w:p w14:paraId="459A37DF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40.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Sakib, A. N. M., Roby, M., Zhang, Z., Muluk, S., Eskandari, M. K., &amp; Finol, E. A. (2026). Dissecting model failures in abdominal aortic aneurysm segmentation. In </w:t>
      </w:r>
      <w:r w:rsidRPr="00161A6D">
        <w:rPr>
          <w:rFonts w:ascii="Times New Roman" w:hAnsi="Times New Roman" w:cs="Times New Roman"/>
          <w:i/>
          <w:sz w:val="24"/>
          <w:szCs w:val="24"/>
        </w:rPr>
        <w:t>Proceedings of the IEEE/CVF Conference on Computer Vision and Pattern Recognition Workshops</w:t>
      </w:r>
      <w:r w:rsidRPr="00161A6D">
        <w:rPr>
          <w:rFonts w:ascii="Times New Roman" w:hAnsi="Times New Roman" w:cs="Times New Roman"/>
          <w:sz w:val="24"/>
          <w:szCs w:val="24"/>
        </w:rPr>
        <w:t xml:space="preserve"> (pp. 6793–6802).</w:t>
      </w:r>
    </w:p>
    <w:p w14:paraId="485E4878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41.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Sakib, A. N. M., Wang, Z., Roby, M., &amp; Zhang, Z. (2027). Empirical characterization of rationale stability under controlled perturbations for explainable pattern recognition. In M. De Marsico et al. (Eds.), </w:t>
      </w:r>
      <w:r w:rsidRPr="00161A6D">
        <w:rPr>
          <w:rFonts w:ascii="Times New Roman" w:hAnsi="Times New Roman" w:cs="Times New Roman"/>
          <w:i/>
          <w:sz w:val="24"/>
          <w:szCs w:val="24"/>
        </w:rPr>
        <w:t>Pattern recognition: ICPR 2026</w:t>
      </w:r>
      <w:r w:rsidRPr="00161A6D">
        <w:rPr>
          <w:rFonts w:ascii="Times New Roman" w:hAnsi="Times New Roman" w:cs="Times New Roman"/>
          <w:sz w:val="24"/>
          <w:szCs w:val="24"/>
        </w:rPr>
        <w:t xml:space="preserve"> (Lecture Notes in Computer Science, Vol. 16826). Springer. https://doi.org/10.1007/978-3-032-31933-3_18</w:t>
      </w:r>
    </w:p>
    <w:p w14:paraId="640EF0FE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42.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Salinas-Soto, C. A., Choe, Y., Hur, S.-M., &amp; Ramírez-Hernández, A. (2023). Exploring conformations of comb-like polymers with varying grafting density in dilute solutions. </w:t>
      </w:r>
      <w:r w:rsidRPr="00161A6D">
        <w:rPr>
          <w:rFonts w:ascii="Times New Roman" w:hAnsi="Times New Roman" w:cs="Times New Roman"/>
          <w:i/>
          <w:sz w:val="24"/>
          <w:szCs w:val="24"/>
        </w:rPr>
        <w:t>The Journal of Chemical Physics, 159</w:t>
      </w:r>
      <w:r w:rsidRPr="00161A6D">
        <w:rPr>
          <w:rFonts w:ascii="Times New Roman" w:hAnsi="Times New Roman" w:cs="Times New Roman"/>
          <w:sz w:val="24"/>
          <w:szCs w:val="24"/>
        </w:rPr>
        <w:t>(11), 114901. https://doi.org/10.1063/5.0148986</w:t>
      </w:r>
    </w:p>
    <w:p w14:paraId="2C403277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43.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Salinas-Soto, C. A., Padilla-Gutierrez, C., Herrera-Alonso, M., Urena-Benavides, E., &amp; Ramirez-Hernandez, A. (2024). Structure and organization of amphiphilic mikto-grafted molecular brushes at liquid/liquid planar interfaces. </w:t>
      </w:r>
      <w:r w:rsidRPr="00161A6D">
        <w:rPr>
          <w:rFonts w:ascii="Times New Roman" w:hAnsi="Times New Roman" w:cs="Times New Roman"/>
          <w:i/>
          <w:sz w:val="24"/>
          <w:szCs w:val="24"/>
        </w:rPr>
        <w:t>Macromolecules, 57</w:t>
      </w:r>
      <w:r w:rsidRPr="00161A6D">
        <w:rPr>
          <w:rFonts w:ascii="Times New Roman" w:hAnsi="Times New Roman" w:cs="Times New Roman"/>
          <w:sz w:val="24"/>
          <w:szCs w:val="24"/>
        </w:rPr>
        <w:t>, 2773. https://doi.org/10.1039/D6SM00097E</w:t>
      </w:r>
    </w:p>
    <w:p w14:paraId="35DCD22D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44.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Salinas-Soto, C. A., Zhao, B., &amp; Ramírez-Hernández, A. (2025). Nanopatterning of liquid–liquid interfaces by mikto-grafted molecular brush polymers. </w:t>
      </w:r>
      <w:r w:rsidRPr="00161A6D">
        <w:rPr>
          <w:rFonts w:ascii="Times New Roman" w:hAnsi="Times New Roman" w:cs="Times New Roman"/>
          <w:i/>
          <w:sz w:val="24"/>
          <w:szCs w:val="24"/>
        </w:rPr>
        <w:t>Macromolecules, 58</w:t>
      </w:r>
      <w:r w:rsidRPr="00161A6D">
        <w:rPr>
          <w:rFonts w:ascii="Times New Roman" w:hAnsi="Times New Roman" w:cs="Times New Roman"/>
          <w:sz w:val="24"/>
          <w:szCs w:val="24"/>
        </w:rPr>
        <w:t>(17), 9259–9271. https://doi.org/10.1021/acs.macromol.5c01807</w:t>
      </w:r>
    </w:p>
    <w:p w14:paraId="7377E51B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45.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Seita, Y., Cheng, K., McCarrey, J. R., Yadu, N., Cheeseman, I. H., Bagwell, A., Ross, C. N., Santana Toro, I., Yen, L. H., Vargas, S., Navara, C. S., Hermann, B. P., &amp; Sasaki, K. (2023). Efficient generation of marmoset primordial germ cell-like cells using induced pluripotent stem cells. </w:t>
      </w:r>
      <w:r w:rsidRPr="00161A6D">
        <w:rPr>
          <w:rFonts w:ascii="Times New Roman" w:hAnsi="Times New Roman" w:cs="Times New Roman"/>
          <w:i/>
          <w:sz w:val="24"/>
          <w:szCs w:val="24"/>
        </w:rPr>
        <w:t>eLife, 12</w:t>
      </w:r>
      <w:r w:rsidRPr="00161A6D">
        <w:rPr>
          <w:rFonts w:ascii="Times New Roman" w:hAnsi="Times New Roman" w:cs="Times New Roman"/>
          <w:sz w:val="24"/>
          <w:szCs w:val="24"/>
        </w:rPr>
        <w:t>, e82263. https://doi.org/10.7554/eLife.82263</w:t>
      </w:r>
    </w:p>
    <w:p w14:paraId="599D3810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46.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Sharma, C., Başağağoğlu, H., Yoosefdoost, I., Wootten, A., Chakraborty-Reddy, D., Bertetti, F. P., Mirchi, A., &amp; Chakraborty, D. (2025). Efficacy of mitigation strategies for aquifer sustainability under climate change. </w:t>
      </w:r>
      <w:r w:rsidRPr="00161A6D">
        <w:rPr>
          <w:rFonts w:ascii="Times New Roman" w:hAnsi="Times New Roman" w:cs="Times New Roman"/>
          <w:i/>
          <w:sz w:val="24"/>
          <w:szCs w:val="24"/>
        </w:rPr>
        <w:t>Nature Sustainability, 8</w:t>
      </w:r>
      <w:r w:rsidRPr="00161A6D">
        <w:rPr>
          <w:rFonts w:ascii="Times New Roman" w:hAnsi="Times New Roman" w:cs="Times New Roman"/>
          <w:sz w:val="24"/>
          <w:szCs w:val="24"/>
        </w:rPr>
        <w:t>(1), 44–53. https://doi.org/10.1038/s41893-024-01477-6</w:t>
      </w:r>
    </w:p>
    <w:p w14:paraId="7F7CB65E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47.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Singh, A., &amp; Hermann, B. P. (2023). Bulk and single-cell RNA-Seq analyses for studies of spermatogonia. </w:t>
      </w:r>
      <w:r w:rsidRPr="00161A6D">
        <w:rPr>
          <w:rFonts w:ascii="Times New Roman" w:hAnsi="Times New Roman" w:cs="Times New Roman"/>
          <w:i/>
          <w:sz w:val="24"/>
          <w:szCs w:val="24"/>
        </w:rPr>
        <w:t>Methods in Molecular Biology, 2656</w:t>
      </w:r>
      <w:r w:rsidRPr="00161A6D">
        <w:rPr>
          <w:rFonts w:ascii="Times New Roman" w:hAnsi="Times New Roman" w:cs="Times New Roman"/>
          <w:sz w:val="24"/>
          <w:szCs w:val="24"/>
        </w:rPr>
        <w:t>, 37–70. https://doi.org/10.1007/978-1-0716-3139-3_4</w:t>
      </w:r>
    </w:p>
    <w:p w14:paraId="6E6D3E50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48. </w:t>
      </w:r>
      <w:r w:rsidRPr="00161A6D">
        <w:rPr>
          <w:rFonts w:ascii="Times New Roman" w:hAnsi="Times New Roman" w:cs="Times New Roman"/>
          <w:sz w:val="24"/>
          <w:szCs w:val="24"/>
        </w:rPr>
        <w:t xml:space="preserve">Suzuki, S., McCarrey, J. R., &amp; Hermann, B. P. (2021). Differential RA responsiveness among subsets of mouse late progenitor spermatogonia. </w:t>
      </w:r>
      <w:r w:rsidRPr="00161A6D">
        <w:rPr>
          <w:rFonts w:ascii="Times New Roman" w:hAnsi="Times New Roman" w:cs="Times New Roman"/>
          <w:i/>
          <w:sz w:val="24"/>
          <w:szCs w:val="24"/>
        </w:rPr>
        <w:t>Reproduction, 161</w:t>
      </w:r>
      <w:r w:rsidRPr="00161A6D">
        <w:rPr>
          <w:rFonts w:ascii="Times New Roman" w:hAnsi="Times New Roman" w:cs="Times New Roman"/>
          <w:sz w:val="24"/>
          <w:szCs w:val="24"/>
        </w:rPr>
        <w:t>(6), 645–655. https://doi.org/10.1530/REP-21-0031</w:t>
      </w:r>
    </w:p>
    <w:p w14:paraId="6FFC812A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49. </w:t>
      </w:r>
      <w:r w:rsidRPr="00161A6D">
        <w:rPr>
          <w:rFonts w:ascii="Times New Roman" w:hAnsi="Times New Roman" w:cs="Times New Roman"/>
          <w:sz w:val="24"/>
          <w:szCs w:val="24"/>
        </w:rPr>
        <w:t xml:space="preserve">Toujani, C., Padilla, L. A., Alhraki, N., Hur, S.-M., &amp; Ramírez-Hernández, A. (2024). Self-assembly of rod-coil-rod block copolymers in a coil-selective solvent: Coarse-grained simulation results. </w:t>
      </w:r>
      <w:r w:rsidRPr="00161A6D">
        <w:rPr>
          <w:rFonts w:ascii="Times New Roman" w:hAnsi="Times New Roman" w:cs="Times New Roman"/>
          <w:i/>
          <w:sz w:val="24"/>
          <w:szCs w:val="24"/>
        </w:rPr>
        <w:t>Soft Matter</w:t>
      </w:r>
      <w:r w:rsidRPr="00161A6D">
        <w:rPr>
          <w:rFonts w:ascii="Times New Roman" w:hAnsi="Times New Roman" w:cs="Times New Roman"/>
          <w:sz w:val="24"/>
          <w:szCs w:val="24"/>
        </w:rPr>
        <w:t>. https://doi.org/10.1039/D4SM00251B</w:t>
      </w:r>
    </w:p>
    <w:p w14:paraId="44F41D12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50. </w:t>
      </w:r>
      <w:r w:rsidRPr="00161A6D">
        <w:rPr>
          <w:rFonts w:ascii="Times New Roman" w:hAnsi="Times New Roman" w:cs="Times New Roman"/>
          <w:sz w:val="24"/>
          <w:szCs w:val="24"/>
        </w:rPr>
        <w:t xml:space="preserve">Uboh, N., Vargas, S., Diaz, V. D., &amp; Hermann, B. P. (2025). Spatial transcriptomic analyses of spermatogenesis. </w:t>
      </w:r>
      <w:r w:rsidRPr="00161A6D">
        <w:rPr>
          <w:rFonts w:ascii="Times New Roman" w:hAnsi="Times New Roman" w:cs="Times New Roman"/>
          <w:i/>
          <w:sz w:val="24"/>
          <w:szCs w:val="24"/>
        </w:rPr>
        <w:t>Methods in Molecular Biology, 2954</w:t>
      </w:r>
      <w:r w:rsidRPr="00161A6D">
        <w:rPr>
          <w:rFonts w:ascii="Times New Roman" w:hAnsi="Times New Roman" w:cs="Times New Roman"/>
          <w:sz w:val="24"/>
          <w:szCs w:val="24"/>
        </w:rPr>
        <w:t>, 49–94. https://doi.org/10.1007/978-1-0716-4698-4_3</w:t>
      </w:r>
    </w:p>
    <w:p w14:paraId="640C1C45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51. </w:t>
      </w:r>
      <w:r w:rsidRPr="00161A6D">
        <w:rPr>
          <w:rFonts w:ascii="Times New Roman" w:hAnsi="Times New Roman" w:cs="Times New Roman"/>
          <w:sz w:val="24"/>
          <w:szCs w:val="24"/>
        </w:rPr>
        <w:t xml:space="preserve">Vásquez–Briceño, A., Pérez–Lemus, G. R., Armas–Pérez, J. C., &amp; Ramírez–Hernández, A. (2025). Multiblock copolymers at liquid–liquid interfaces: Effect of the block sequence on interfacial tension and polymer conformation. </w:t>
      </w:r>
      <w:r w:rsidRPr="00161A6D">
        <w:rPr>
          <w:rFonts w:ascii="Times New Roman" w:hAnsi="Times New Roman" w:cs="Times New Roman"/>
          <w:i/>
          <w:sz w:val="24"/>
          <w:szCs w:val="24"/>
        </w:rPr>
        <w:t>Journal of Physical Chemistry B, 129</w:t>
      </w:r>
      <w:r w:rsidRPr="00161A6D">
        <w:rPr>
          <w:rFonts w:ascii="Times New Roman" w:hAnsi="Times New Roman" w:cs="Times New Roman"/>
          <w:sz w:val="24"/>
          <w:szCs w:val="24"/>
        </w:rPr>
        <w:t>(11), 3041–3052. https://doi.org/10.1021/acs.jpcb.4c07448</w:t>
      </w:r>
    </w:p>
    <w:p w14:paraId="3FA57003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52. </w:t>
      </w:r>
      <w:r w:rsidRPr="00161A6D">
        <w:rPr>
          <w:rFonts w:ascii="Times New Roman" w:hAnsi="Times New Roman" w:cs="Times New Roman"/>
          <w:sz w:val="24"/>
          <w:szCs w:val="24"/>
        </w:rPr>
        <w:t xml:space="preserve">Vásquez–Briceño, A., Salinas–Soto, C. R., Ureña–Benavides, E., &amp; Ramírez–Hernández, A. (2026). Conformations and interfacial activity of amphiphilic bottlebrush block copolymers at the interface of immiscible liquids. </w:t>
      </w:r>
      <w:r w:rsidRPr="00161A6D">
        <w:rPr>
          <w:rFonts w:ascii="Times New Roman" w:hAnsi="Times New Roman" w:cs="Times New Roman"/>
          <w:i/>
          <w:sz w:val="24"/>
          <w:szCs w:val="24"/>
        </w:rPr>
        <w:t>Macromolecules</w:t>
      </w:r>
      <w:r w:rsidRPr="00161A6D">
        <w:rPr>
          <w:rFonts w:ascii="Times New Roman" w:hAnsi="Times New Roman" w:cs="Times New Roman"/>
          <w:sz w:val="24"/>
          <w:szCs w:val="24"/>
        </w:rPr>
        <w:t>. Advance online publication. https://doi.org/10.1021/acs.macromol.5c03499</w:t>
      </w:r>
    </w:p>
    <w:p w14:paraId="48C700FA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53. </w:t>
      </w:r>
      <w:r w:rsidRPr="00161A6D">
        <w:rPr>
          <w:rFonts w:ascii="Times New Roman" w:hAnsi="Times New Roman" w:cs="Times New Roman"/>
          <w:sz w:val="24"/>
          <w:szCs w:val="24"/>
        </w:rPr>
        <w:t xml:space="preserve">Xia, X., &amp; Gao, Y. (2023). Determining reaction paths by evaluating kinetic isotopic effects with density functional theory: Example of methane thermogenesis. </w:t>
      </w:r>
      <w:r w:rsidRPr="00161A6D">
        <w:rPr>
          <w:rFonts w:ascii="Times New Roman" w:hAnsi="Times New Roman" w:cs="Times New Roman"/>
          <w:i/>
          <w:sz w:val="24"/>
          <w:szCs w:val="24"/>
        </w:rPr>
        <w:t>Journal of Chemical Information and Modeling, 63</w:t>
      </w:r>
      <w:r w:rsidRPr="00161A6D">
        <w:rPr>
          <w:rFonts w:ascii="Times New Roman" w:hAnsi="Times New Roman" w:cs="Times New Roman"/>
          <w:sz w:val="24"/>
          <w:szCs w:val="24"/>
        </w:rPr>
        <w:t>(9), 2742–2747. https://doi.org/10.1021/acs.jcim.3c00531</w:t>
      </w:r>
    </w:p>
    <w:p w14:paraId="157D4127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54. </w:t>
      </w:r>
      <w:r w:rsidRPr="00161A6D">
        <w:rPr>
          <w:rFonts w:ascii="Times New Roman" w:hAnsi="Times New Roman" w:cs="Times New Roman"/>
          <w:sz w:val="24"/>
          <w:szCs w:val="24"/>
        </w:rPr>
        <w:t xml:space="preserve">Xia, X., &amp; Gao, Y. (2024). Compound-specific, intra-molecular, and clumped 13C fractionations in the thermal generation and decomposition of ethane and propane: A DFT and kinetic investigation. </w:t>
      </w:r>
      <w:r w:rsidRPr="00161A6D">
        <w:rPr>
          <w:rFonts w:ascii="Times New Roman" w:hAnsi="Times New Roman" w:cs="Times New Roman"/>
          <w:i/>
          <w:sz w:val="24"/>
          <w:szCs w:val="24"/>
        </w:rPr>
        <w:t>Geochimica et Cosmochimica Acta, 375</w:t>
      </w:r>
      <w:r w:rsidRPr="00161A6D">
        <w:rPr>
          <w:rFonts w:ascii="Times New Roman" w:hAnsi="Times New Roman" w:cs="Times New Roman"/>
          <w:sz w:val="24"/>
          <w:szCs w:val="24"/>
        </w:rPr>
        <w:t>, 50–63. https://doi.org/10.1016/j.gca.2024.05.001</w:t>
      </w:r>
    </w:p>
    <w:p w14:paraId="01392FD7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55. </w:t>
      </w:r>
      <w:r w:rsidRPr="00161A6D">
        <w:rPr>
          <w:rFonts w:ascii="Times New Roman" w:hAnsi="Times New Roman" w:cs="Times New Roman"/>
          <w:sz w:val="24"/>
          <w:szCs w:val="24"/>
        </w:rPr>
        <w:t xml:space="preserve">Xia, X., &amp; Gao, Y. (2026). Isotopic evidence for reaction pathways and quantum tunneling in methanotrophy. </w:t>
      </w:r>
      <w:r w:rsidRPr="00161A6D">
        <w:rPr>
          <w:rFonts w:ascii="Times New Roman" w:hAnsi="Times New Roman" w:cs="Times New Roman"/>
          <w:i/>
          <w:sz w:val="24"/>
          <w:szCs w:val="24"/>
        </w:rPr>
        <w:t>Journal of Physical Chemistry B, 130</w:t>
      </w:r>
      <w:r w:rsidRPr="00161A6D">
        <w:rPr>
          <w:rFonts w:ascii="Times New Roman" w:hAnsi="Times New Roman" w:cs="Times New Roman"/>
          <w:sz w:val="24"/>
          <w:szCs w:val="24"/>
        </w:rPr>
        <w:t>, 7845–7854. https://doi.org/10.1021/acs.jpcb.6c02836</w:t>
      </w:r>
    </w:p>
    <w:p w14:paraId="09ED0734" w14:textId="77777777" w:rsidR="00D41207" w:rsidRPr="00161A6D" w:rsidRDefault="0069171C">
      <w:pPr>
        <w:spacing w:after="120" w:line="259" w:lineRule="auto"/>
        <w:ind w:left="504" w:hanging="504"/>
        <w:rPr>
          <w:rFonts w:ascii="Times New Roman" w:hAnsi="Times New Roman" w:cs="Times New Roman"/>
          <w:sz w:val="24"/>
          <w:szCs w:val="24"/>
        </w:rPr>
      </w:pPr>
      <w:r w:rsidRPr="00161A6D">
        <w:rPr>
          <w:rFonts w:ascii="Times New Roman" w:hAnsi="Times New Roman" w:cs="Times New Roman"/>
          <w:b/>
          <w:sz w:val="24"/>
          <w:szCs w:val="24"/>
        </w:rPr>
        <w:t xml:space="preserve">56. </w:t>
      </w:r>
      <w:r w:rsidRPr="00161A6D">
        <w:rPr>
          <w:rFonts w:ascii="Times New Roman" w:hAnsi="Times New Roman" w:cs="Times New Roman"/>
          <w:sz w:val="24"/>
          <w:szCs w:val="24"/>
        </w:rPr>
        <w:t xml:space="preserve">Xia, X., &amp; Gao, Y. (2026). Thermal incorporation of natural hydrogen into sedimentary organic matter. </w:t>
      </w:r>
      <w:r w:rsidRPr="00161A6D">
        <w:rPr>
          <w:rFonts w:ascii="Times New Roman" w:hAnsi="Times New Roman" w:cs="Times New Roman"/>
          <w:i/>
          <w:sz w:val="24"/>
          <w:szCs w:val="24"/>
        </w:rPr>
        <w:t>Marine Geoscience and Energy Resources, 189</w:t>
      </w:r>
      <w:r w:rsidRPr="00161A6D">
        <w:rPr>
          <w:rFonts w:ascii="Times New Roman" w:hAnsi="Times New Roman" w:cs="Times New Roman"/>
          <w:sz w:val="24"/>
          <w:szCs w:val="24"/>
        </w:rPr>
        <w:t>, 207751. https://doi.org/10.1016/j.marger.2026.207751</w:t>
      </w:r>
    </w:p>
    <w:sectPr w:rsidR="00D41207" w:rsidRPr="00161A6D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018427">
    <w:abstractNumId w:val="8"/>
  </w:num>
  <w:num w:numId="2" w16cid:durableId="445320651">
    <w:abstractNumId w:val="6"/>
  </w:num>
  <w:num w:numId="3" w16cid:durableId="250940113">
    <w:abstractNumId w:val="5"/>
  </w:num>
  <w:num w:numId="4" w16cid:durableId="1640720931">
    <w:abstractNumId w:val="4"/>
  </w:num>
  <w:num w:numId="5" w16cid:durableId="1343782910">
    <w:abstractNumId w:val="7"/>
  </w:num>
  <w:num w:numId="6" w16cid:durableId="68893882">
    <w:abstractNumId w:val="3"/>
  </w:num>
  <w:num w:numId="7" w16cid:durableId="837889966">
    <w:abstractNumId w:val="2"/>
  </w:num>
  <w:num w:numId="8" w16cid:durableId="1531915867">
    <w:abstractNumId w:val="1"/>
  </w:num>
  <w:num w:numId="9" w16cid:durableId="52004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1A6D"/>
    <w:rsid w:val="0029639D"/>
    <w:rsid w:val="00326F90"/>
    <w:rsid w:val="0069171C"/>
    <w:rsid w:val="00AA1D8D"/>
    <w:rsid w:val="00B47730"/>
    <w:rsid w:val="00CB0664"/>
    <w:rsid w:val="00D41207"/>
    <w:rsid w:val="00ED03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E6F541"/>
  <w14:defaultImageDpi w14:val="300"/>
  <w15:docId w15:val="{75CD9D31-4577-4A17-9F0F-6DDDB26E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1923</Words>
  <Characters>13159</Characters>
  <Application>Microsoft Office Word</Application>
  <DocSecurity>0</DocSecurity>
  <Lines>185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Trevor Nash</cp:lastModifiedBy>
  <cp:revision>2</cp:revision>
  <dcterms:created xsi:type="dcterms:W3CDTF">2026-09-08T13:34:00Z</dcterms:created>
  <dcterms:modified xsi:type="dcterms:W3CDTF">2026-09-08T13:34:00Z</dcterms:modified>
  <cp:category/>
</cp:coreProperties>
</file>